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rPr>
          <w:rFonts w:ascii="宋体" w:hAnsi="宋体"/>
          <w:b/>
          <w:sz w:val="56"/>
        </w:rPr>
      </w:pPr>
    </w:p>
    <w:p>
      <w:pPr>
        <w:spacing w:line="312" w:lineRule="auto"/>
        <w:jc w:val="center"/>
        <w:rPr>
          <w:rFonts w:ascii="宋体" w:hAnsi="宋体"/>
          <w:b/>
          <w:sz w:val="62"/>
          <w:szCs w:val="62"/>
        </w:rPr>
      </w:pPr>
      <w:r>
        <w:rPr>
          <w:rFonts w:hint="eastAsia" w:ascii="宋体" w:hAnsi="宋体"/>
          <w:b/>
          <w:sz w:val="62"/>
          <w:szCs w:val="62"/>
        </w:rPr>
        <w:t>环保产业园</w:t>
      </w:r>
    </w:p>
    <w:p>
      <w:pPr>
        <w:spacing w:line="312" w:lineRule="auto"/>
        <w:jc w:val="center"/>
        <w:rPr>
          <w:rFonts w:ascii="宋体" w:hAnsi="宋体"/>
          <w:b/>
          <w:sz w:val="62"/>
          <w:szCs w:val="62"/>
        </w:rPr>
      </w:pPr>
      <w:r>
        <w:rPr>
          <w:rFonts w:hint="eastAsia" w:ascii="宋体" w:hAnsi="宋体"/>
          <w:b/>
          <w:sz w:val="62"/>
          <w:szCs w:val="62"/>
        </w:rPr>
        <w:t>生态环保</w:t>
      </w:r>
      <w:r>
        <w:rPr>
          <w:rFonts w:hint="eastAsia" w:ascii="宋体" w:hAnsi="宋体"/>
          <w:b/>
          <w:sz w:val="62"/>
          <w:szCs w:val="62"/>
          <w:lang w:val="en-US" w:eastAsia="zh-CN"/>
        </w:rPr>
        <w:t>专家</w:t>
      </w:r>
      <w:r>
        <w:rPr>
          <w:rFonts w:hint="eastAsia" w:ascii="宋体" w:hAnsi="宋体"/>
          <w:b/>
          <w:sz w:val="62"/>
          <w:szCs w:val="62"/>
        </w:rPr>
        <w:t>顾问咨询服务</w:t>
      </w:r>
    </w:p>
    <w:p>
      <w:pPr>
        <w:spacing w:line="312" w:lineRule="auto"/>
        <w:jc w:val="center"/>
        <w:rPr>
          <w:rFonts w:ascii="宋体" w:hAnsi="宋体"/>
          <w:b/>
          <w:sz w:val="28"/>
        </w:rPr>
      </w:pPr>
    </w:p>
    <w:p>
      <w:pPr>
        <w:spacing w:line="312" w:lineRule="auto"/>
        <w:jc w:val="center"/>
        <w:rPr>
          <w:rFonts w:ascii="宋体" w:hAnsi="宋体"/>
          <w:b/>
          <w:sz w:val="28"/>
        </w:rPr>
      </w:pPr>
    </w:p>
    <w:p>
      <w:pPr>
        <w:spacing w:line="312" w:lineRule="auto"/>
        <w:jc w:val="center"/>
        <w:rPr>
          <w:rFonts w:ascii="宋体" w:hAnsi="宋体"/>
          <w:b/>
          <w:sz w:val="56"/>
        </w:rPr>
      </w:pPr>
    </w:p>
    <w:p>
      <w:pPr>
        <w:spacing w:line="312" w:lineRule="auto"/>
        <w:jc w:val="center"/>
        <w:rPr>
          <w:rFonts w:ascii="宋体" w:hAnsi="宋体"/>
          <w:b/>
          <w:sz w:val="56"/>
        </w:rPr>
      </w:pPr>
    </w:p>
    <w:p>
      <w:pPr>
        <w:spacing w:line="312" w:lineRule="auto"/>
        <w:jc w:val="center"/>
        <w:rPr>
          <w:rFonts w:ascii="宋体" w:hAnsi="宋体"/>
          <w:b/>
          <w:sz w:val="56"/>
        </w:rPr>
      </w:pPr>
      <w:r>
        <w:rPr>
          <w:rFonts w:hint="eastAsia" w:ascii="宋体" w:hAnsi="宋体"/>
          <w:b/>
          <w:sz w:val="56"/>
        </w:rPr>
        <w:t>招</w:t>
      </w:r>
    </w:p>
    <w:p>
      <w:pPr>
        <w:spacing w:line="312" w:lineRule="auto"/>
        <w:jc w:val="center"/>
        <w:rPr>
          <w:rFonts w:ascii="宋体" w:hAnsi="宋体"/>
          <w:b/>
          <w:sz w:val="56"/>
        </w:rPr>
      </w:pPr>
      <w:r>
        <w:rPr>
          <w:rFonts w:hint="eastAsia" w:ascii="宋体" w:hAnsi="宋体"/>
          <w:b/>
          <w:sz w:val="56"/>
        </w:rPr>
        <w:t>标</w:t>
      </w:r>
    </w:p>
    <w:p>
      <w:pPr>
        <w:spacing w:line="312" w:lineRule="auto"/>
        <w:jc w:val="center"/>
        <w:rPr>
          <w:rFonts w:ascii="宋体" w:hAnsi="宋体"/>
          <w:b/>
          <w:sz w:val="56"/>
        </w:rPr>
      </w:pPr>
      <w:r>
        <w:rPr>
          <w:rFonts w:hint="eastAsia" w:ascii="宋体" w:hAnsi="宋体"/>
          <w:b/>
          <w:sz w:val="56"/>
        </w:rPr>
        <w:t>文</w:t>
      </w:r>
    </w:p>
    <w:p>
      <w:pPr>
        <w:spacing w:line="312" w:lineRule="auto"/>
        <w:jc w:val="center"/>
        <w:rPr>
          <w:rFonts w:ascii="宋体" w:hAnsi="宋体"/>
          <w:b/>
          <w:sz w:val="56"/>
        </w:rPr>
      </w:pPr>
      <w:r>
        <w:rPr>
          <w:rFonts w:hint="eastAsia" w:ascii="宋体" w:hAnsi="宋体"/>
          <w:b/>
          <w:sz w:val="56"/>
        </w:rPr>
        <w:t>件</w:t>
      </w:r>
    </w:p>
    <w:p>
      <w:pPr>
        <w:spacing w:line="312" w:lineRule="auto"/>
        <w:jc w:val="center"/>
        <w:rPr>
          <w:rFonts w:ascii="宋体" w:hAnsi="宋体"/>
          <w:b/>
          <w:sz w:val="28"/>
        </w:rPr>
      </w:pPr>
    </w:p>
    <w:p>
      <w:pPr>
        <w:spacing w:line="312" w:lineRule="auto"/>
        <w:jc w:val="center"/>
        <w:rPr>
          <w:rFonts w:ascii="宋体" w:hAnsi="宋体"/>
          <w:b/>
          <w:sz w:val="28"/>
        </w:rPr>
      </w:pPr>
    </w:p>
    <w:p>
      <w:pPr>
        <w:tabs>
          <w:tab w:val="left" w:pos="504"/>
          <w:tab w:val="left" w:pos="1800"/>
          <w:tab w:val="left" w:pos="1980"/>
        </w:tabs>
        <w:spacing w:line="540" w:lineRule="auto"/>
        <w:ind w:left="2844" w:leftChars="400" w:hanging="2004" w:hangingChars="713"/>
        <w:rPr>
          <w:rFonts w:ascii="宋体" w:hAnsi="宋体" w:cs="Courier New"/>
          <w:b/>
          <w:bCs/>
          <w:sz w:val="28"/>
          <w:u w:val="single"/>
        </w:rPr>
      </w:pPr>
      <w:r>
        <w:rPr>
          <w:rFonts w:hint="eastAsia" w:ascii="宋体" w:hAnsi="宋体" w:cs="Courier New"/>
          <w:b/>
          <w:bCs/>
          <w:sz w:val="28"/>
        </w:rPr>
        <w:t>项目名称</w:t>
      </w:r>
      <w:r>
        <w:rPr>
          <w:rFonts w:hint="eastAsia" w:ascii="宋体" w:hAnsi="宋体"/>
          <w:b/>
          <w:sz w:val="28"/>
        </w:rPr>
        <w:t>：</w:t>
      </w:r>
      <w:r>
        <w:rPr>
          <w:rFonts w:hint="eastAsia" w:ascii="宋体" w:hAnsi="宋体" w:cs="Courier New"/>
          <w:b/>
          <w:bCs/>
          <w:sz w:val="28"/>
          <w:u w:val="single"/>
        </w:rPr>
        <w:t>环保产业园生态环保</w:t>
      </w:r>
      <w:r>
        <w:rPr>
          <w:rFonts w:hint="eastAsia" w:ascii="宋体" w:hAnsi="宋体" w:cs="Courier New"/>
          <w:b/>
          <w:bCs/>
          <w:sz w:val="28"/>
          <w:u w:val="single"/>
          <w:lang w:val="en-US" w:eastAsia="zh-CN"/>
        </w:rPr>
        <w:t>专家</w:t>
      </w:r>
      <w:r>
        <w:rPr>
          <w:rFonts w:hint="eastAsia" w:ascii="宋体" w:hAnsi="宋体" w:cs="Courier New"/>
          <w:b/>
          <w:bCs/>
          <w:sz w:val="28"/>
          <w:u w:val="single"/>
        </w:rPr>
        <w:t>顾问咨询服务</w:t>
      </w:r>
    </w:p>
    <w:p>
      <w:pPr>
        <w:tabs>
          <w:tab w:val="left" w:pos="504"/>
          <w:tab w:val="left" w:pos="1800"/>
          <w:tab w:val="left" w:pos="1980"/>
        </w:tabs>
        <w:spacing w:line="540" w:lineRule="auto"/>
        <w:ind w:left="2844" w:leftChars="400" w:hanging="2004" w:hangingChars="713"/>
        <w:rPr>
          <w:rFonts w:ascii="宋体" w:hAnsi="宋体" w:cs="宋体"/>
          <w:b/>
          <w:kern w:val="0"/>
          <w:sz w:val="28"/>
          <w:u w:val="single"/>
        </w:rPr>
      </w:pPr>
      <w:r>
        <w:rPr>
          <w:rFonts w:hint="eastAsia" w:ascii="宋体" w:hAnsi="宋体" w:cs="Courier New"/>
          <w:b/>
          <w:bCs/>
          <w:sz w:val="28"/>
        </w:rPr>
        <w:t>招标编号：</w:t>
      </w:r>
      <w:r>
        <w:rPr>
          <w:rFonts w:ascii="宋体" w:hAnsi="宋体" w:cs="宋体"/>
          <w:b/>
          <w:kern w:val="0"/>
          <w:sz w:val="28"/>
          <w:u w:val="single"/>
        </w:rPr>
        <w:t>INF-</w:t>
      </w:r>
      <w:r>
        <w:rPr>
          <w:rFonts w:hint="eastAsia" w:ascii="宋体" w:hAnsi="宋体" w:cs="宋体"/>
          <w:b/>
          <w:kern w:val="0"/>
          <w:sz w:val="28"/>
          <w:u w:val="single"/>
        </w:rPr>
        <w:t>ZXHB</w:t>
      </w:r>
      <w:r>
        <w:rPr>
          <w:rFonts w:ascii="宋体" w:hAnsi="宋体" w:cs="宋体"/>
          <w:b/>
          <w:kern w:val="0"/>
          <w:sz w:val="28"/>
          <w:u w:val="single"/>
        </w:rPr>
        <w:t>2021-00</w:t>
      </w:r>
      <w:r>
        <w:rPr>
          <w:rFonts w:hint="eastAsia" w:ascii="宋体" w:hAnsi="宋体" w:cs="宋体"/>
          <w:b/>
          <w:kern w:val="0"/>
          <w:sz w:val="28"/>
          <w:u w:val="single"/>
          <w:lang w:val="en-US" w:eastAsia="zh-CN"/>
        </w:rPr>
        <w:t>3</w:t>
      </w:r>
      <w:r>
        <w:rPr>
          <w:rFonts w:hint="eastAsia" w:ascii="宋体" w:hAnsi="宋体" w:cs="宋体"/>
          <w:b/>
          <w:kern w:val="0"/>
          <w:sz w:val="28"/>
          <w:u w:val="single"/>
        </w:rPr>
        <w:t xml:space="preserve"> </w:t>
      </w:r>
    </w:p>
    <w:p>
      <w:pPr>
        <w:pStyle w:val="18"/>
        <w:spacing w:line="540" w:lineRule="auto"/>
        <w:ind w:left="2844" w:leftChars="400" w:hanging="2004" w:hangingChars="713"/>
        <w:rPr>
          <w:rFonts w:ascii="宋体" w:hAnsi="宋体" w:eastAsia="宋体"/>
          <w:b/>
          <w:bCs/>
          <w:sz w:val="28"/>
          <w:szCs w:val="24"/>
          <w:u w:val="single"/>
          <w:lang w:eastAsia="zh-CN"/>
        </w:rPr>
      </w:pPr>
      <w:r>
        <w:rPr>
          <w:rFonts w:hint="eastAsia" w:ascii="宋体" w:hAnsi="宋体" w:eastAsia="宋体"/>
          <w:b/>
          <w:bCs/>
          <w:sz w:val="28"/>
          <w:szCs w:val="24"/>
          <w:lang w:eastAsia="zh-CN"/>
        </w:rPr>
        <w:t>招 标 人：</w:t>
      </w:r>
      <w:r>
        <w:rPr>
          <w:rFonts w:hint="eastAsia" w:ascii="宋体" w:hAnsi="宋体" w:eastAsia="宋体"/>
          <w:b/>
          <w:bCs/>
          <w:sz w:val="28"/>
          <w:szCs w:val="24"/>
          <w:u w:val="single"/>
          <w:lang w:eastAsia="zh-CN"/>
        </w:rPr>
        <w:t>深圳英飞拓智园科技有限公司</w:t>
      </w:r>
    </w:p>
    <w:p>
      <w:pPr>
        <w:jc w:val="center"/>
        <w:rPr>
          <w:rFonts w:ascii="宋体" w:hAnsi="宋体"/>
          <w:b/>
          <w:sz w:val="28"/>
        </w:rPr>
      </w:pPr>
      <w:r>
        <w:rPr>
          <w:rFonts w:hint="eastAsia" w:ascii="宋体" w:hAnsi="宋体"/>
          <w:b/>
          <w:sz w:val="28"/>
        </w:rPr>
        <w:t>20</w:t>
      </w:r>
      <w:r>
        <w:rPr>
          <w:rFonts w:ascii="宋体" w:hAnsi="宋体"/>
          <w:b/>
          <w:sz w:val="28"/>
        </w:rPr>
        <w:t>21</w:t>
      </w:r>
      <w:r>
        <w:rPr>
          <w:rFonts w:hint="eastAsia" w:ascii="宋体" w:hAnsi="宋体"/>
          <w:b/>
          <w:sz w:val="28"/>
        </w:rPr>
        <w:t>年</w:t>
      </w:r>
      <w:r>
        <w:rPr>
          <w:rFonts w:hint="eastAsia" w:ascii="宋体" w:hAnsi="宋体"/>
          <w:b/>
          <w:sz w:val="28"/>
          <w:lang w:val="en-US" w:eastAsia="zh-CN"/>
        </w:rPr>
        <w:t>7</w:t>
      </w:r>
      <w:r>
        <w:rPr>
          <w:rFonts w:hint="eastAsia" w:ascii="宋体" w:hAnsi="宋体"/>
          <w:b/>
          <w:sz w:val="28"/>
        </w:rPr>
        <w:t>月</w:t>
      </w:r>
    </w:p>
    <w:p>
      <w:pPr>
        <w:jc w:val="center"/>
        <w:rPr>
          <w:b/>
          <w:sz w:val="36"/>
        </w:rPr>
      </w:pPr>
      <w:bookmarkStart w:id="0" w:name="_Toc70410323"/>
      <w:bookmarkStart w:id="1" w:name="_Toc70410849"/>
      <w:r>
        <w:rPr>
          <w:rFonts w:hint="eastAsia"/>
          <w:b/>
          <w:sz w:val="36"/>
        </w:rPr>
        <w:t>目   录</w:t>
      </w:r>
      <w:bookmarkEnd w:id="0"/>
      <w:bookmarkEnd w:id="1"/>
    </w:p>
    <w:p>
      <w:pPr>
        <w:pStyle w:val="24"/>
        <w:tabs>
          <w:tab w:val="right" w:leader="dot" w:pos="8312"/>
        </w:tabs>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rPr>
          <w:rFonts w:ascii="宋体" w:hAnsi="宋体"/>
        </w:rPr>
        <w:fldChar w:fldCharType="begin"/>
      </w:r>
      <w:r>
        <w:rPr>
          <w:rFonts w:ascii="宋体" w:hAnsi="宋体"/>
        </w:rPr>
        <w:instrText xml:space="preserve"> HYPERLINK \l _Toc12659 </w:instrText>
      </w:r>
      <w:r>
        <w:rPr>
          <w:rFonts w:ascii="宋体" w:hAnsi="宋体"/>
        </w:rPr>
        <w:fldChar w:fldCharType="separate"/>
      </w:r>
      <w:r>
        <w:t xml:space="preserve">第1章 </w:t>
      </w:r>
      <w:r>
        <w:rPr>
          <w:rFonts w:hint="eastAsia"/>
        </w:rPr>
        <w:t>招标公告</w:t>
      </w:r>
      <w:r>
        <w:tab/>
      </w:r>
      <w:r>
        <w:fldChar w:fldCharType="begin"/>
      </w:r>
      <w:r>
        <w:instrText xml:space="preserve"> PAGEREF _Toc12659 \h </w:instrText>
      </w:r>
      <w:r>
        <w:fldChar w:fldCharType="separate"/>
      </w:r>
      <w:r>
        <w:t>5</w:t>
      </w:r>
      <w:r>
        <w:fldChar w:fldCharType="end"/>
      </w:r>
      <w:r>
        <w:rPr>
          <w:rFonts w:ascii="宋体" w:hAnsi="宋体"/>
        </w:rPr>
        <w:fldChar w:fldCharType="end"/>
      </w:r>
    </w:p>
    <w:p>
      <w:pPr>
        <w:pStyle w:val="24"/>
        <w:tabs>
          <w:tab w:val="right" w:leader="dot" w:pos="8312"/>
        </w:tabs>
      </w:pPr>
      <w:r>
        <w:rPr>
          <w:rFonts w:ascii="宋体" w:hAnsi="宋体"/>
          <w:bCs/>
          <w:lang w:val="zh-CN"/>
        </w:rPr>
        <w:fldChar w:fldCharType="begin"/>
      </w:r>
      <w:r>
        <w:rPr>
          <w:rFonts w:ascii="宋体" w:hAnsi="宋体"/>
          <w:bCs/>
          <w:lang w:val="zh-CN"/>
        </w:rPr>
        <w:instrText xml:space="preserve"> HYPERLINK \l _Toc1252 </w:instrText>
      </w:r>
      <w:r>
        <w:rPr>
          <w:rFonts w:ascii="宋体" w:hAnsi="宋体"/>
          <w:bCs/>
          <w:lang w:val="zh-CN"/>
        </w:rPr>
        <w:fldChar w:fldCharType="separate"/>
      </w:r>
      <w:r>
        <w:t xml:space="preserve">第2章 </w:t>
      </w:r>
      <w:r>
        <w:rPr>
          <w:rFonts w:hint="eastAsia"/>
        </w:rPr>
        <w:t>招标项目要求</w:t>
      </w:r>
      <w:r>
        <w:tab/>
      </w:r>
      <w:r>
        <w:fldChar w:fldCharType="begin"/>
      </w:r>
      <w:r>
        <w:instrText xml:space="preserve"> PAGEREF _Toc1252 \h </w:instrText>
      </w:r>
      <w:r>
        <w:fldChar w:fldCharType="separate"/>
      </w:r>
      <w:r>
        <w:t>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_Toc28800 </w:instrText>
      </w:r>
      <w:r>
        <w:rPr>
          <w:rFonts w:ascii="宋体" w:hAnsi="宋体"/>
          <w:bCs/>
          <w:lang w:val="zh-CN"/>
        </w:rPr>
        <w:fldChar w:fldCharType="separate"/>
      </w:r>
      <w:r>
        <w:rPr>
          <w:rFonts w:hint="eastAsia"/>
          <w:szCs w:val="24"/>
        </w:rPr>
        <w:t>2.1 项目概述</w:t>
      </w:r>
      <w:r>
        <w:tab/>
      </w:r>
      <w:r>
        <w:fldChar w:fldCharType="begin"/>
      </w:r>
      <w:r>
        <w:instrText xml:space="preserve"> PAGEREF _Toc28800 \h </w:instrText>
      </w:r>
      <w:r>
        <w:fldChar w:fldCharType="separate"/>
      </w:r>
      <w:r>
        <w:t>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_Toc13967 </w:instrText>
      </w:r>
      <w:r>
        <w:rPr>
          <w:rFonts w:ascii="宋体" w:hAnsi="宋体"/>
          <w:bCs/>
          <w:lang w:val="zh-CN"/>
        </w:rPr>
        <w:fldChar w:fldCharType="separate"/>
      </w:r>
      <w:r>
        <w:rPr>
          <w:rFonts w:hint="eastAsia"/>
          <w:szCs w:val="24"/>
        </w:rPr>
        <w:t>2.2 服务内容</w:t>
      </w:r>
      <w:r>
        <w:tab/>
      </w:r>
      <w:r>
        <w:fldChar w:fldCharType="begin"/>
      </w:r>
      <w:r>
        <w:instrText xml:space="preserve"> PAGEREF _Toc13967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_Toc22952 </w:instrText>
      </w:r>
      <w:r>
        <w:rPr>
          <w:rFonts w:ascii="宋体" w:hAnsi="宋体"/>
          <w:bCs/>
          <w:lang w:val="zh-CN"/>
        </w:rPr>
        <w:fldChar w:fldCharType="separate"/>
      </w:r>
      <w:r>
        <w:rPr>
          <w:rFonts w:hint="eastAsia" w:ascii="宋体" w:hAnsi="宋体" w:cs="宋体"/>
          <w:bCs/>
        </w:rPr>
        <w:t>2.2.1规划及相关资料的解读及报告</w:t>
      </w:r>
      <w:r>
        <w:tab/>
      </w:r>
      <w:r>
        <w:fldChar w:fldCharType="begin"/>
      </w:r>
      <w:r>
        <w:instrText xml:space="preserve"> PAGEREF _Toc22952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_Toc8379 </w:instrText>
      </w:r>
      <w:r>
        <w:rPr>
          <w:rFonts w:ascii="宋体" w:hAnsi="宋体"/>
          <w:bCs/>
          <w:lang w:val="zh-CN"/>
        </w:rPr>
        <w:fldChar w:fldCharType="separate"/>
      </w:r>
      <w:r>
        <w:rPr>
          <w:rFonts w:hint="eastAsia" w:ascii="宋体" w:hAnsi="宋体" w:cs="宋体"/>
          <w:bCs/>
        </w:rPr>
        <w:t>2.2.2</w:t>
      </w:r>
      <w:r>
        <w:rPr>
          <w:rFonts w:hint="eastAsia" w:ascii="宋体" w:hAnsi="宋体" w:cs="宋体"/>
          <w:bCs/>
          <w:szCs w:val="24"/>
        </w:rPr>
        <w:t>相关部门/单位调研及报告</w:t>
      </w:r>
      <w:r>
        <w:tab/>
      </w:r>
      <w:r>
        <w:fldChar w:fldCharType="begin"/>
      </w:r>
      <w:r>
        <w:instrText xml:space="preserve"> PAGEREF _Toc8379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_Toc18908 </w:instrText>
      </w:r>
      <w:r>
        <w:rPr>
          <w:rFonts w:ascii="宋体" w:hAnsi="宋体"/>
          <w:bCs/>
          <w:lang w:val="zh-CN"/>
        </w:rPr>
        <w:fldChar w:fldCharType="separate"/>
      </w:r>
      <w:r>
        <w:rPr>
          <w:rFonts w:hint="eastAsia" w:ascii="宋体" w:hAnsi="宋体" w:cs="宋体"/>
          <w:bCs/>
          <w:szCs w:val="24"/>
        </w:rPr>
        <w:t>2.2.3</w:t>
      </w:r>
      <w:r>
        <w:rPr>
          <w:rFonts w:hint="eastAsia" w:ascii="宋体" w:hAnsi="宋体" w:cs="宋体"/>
          <w:bCs/>
          <w:szCs w:val="24"/>
          <w:lang w:val="en-US" w:eastAsia="zh-CN"/>
        </w:rPr>
        <w:t>对标</w:t>
      </w:r>
      <w:r>
        <w:rPr>
          <w:rFonts w:hint="eastAsia" w:ascii="宋体" w:hAnsi="宋体" w:cs="宋体"/>
          <w:bCs/>
          <w:szCs w:val="24"/>
        </w:rPr>
        <w:t>案例调研及报告</w:t>
      </w:r>
      <w:r>
        <w:tab/>
      </w:r>
      <w:r>
        <w:fldChar w:fldCharType="begin"/>
      </w:r>
      <w:r>
        <w:instrText xml:space="preserve"> PAGEREF _Toc18908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_Toc25887 </w:instrText>
      </w:r>
      <w:r>
        <w:rPr>
          <w:rFonts w:ascii="宋体" w:hAnsi="宋体"/>
          <w:bCs/>
          <w:lang w:val="zh-CN"/>
        </w:rPr>
        <w:fldChar w:fldCharType="separate"/>
      </w:r>
      <w:r>
        <w:rPr>
          <w:rFonts w:hint="eastAsia" w:ascii="宋体" w:hAnsi="宋体" w:cs="宋体"/>
          <w:bCs/>
          <w:szCs w:val="24"/>
        </w:rPr>
        <w:t>2.2.4整体调研报告</w:t>
      </w:r>
      <w:r>
        <w:tab/>
      </w:r>
      <w:r>
        <w:fldChar w:fldCharType="begin"/>
      </w:r>
      <w:r>
        <w:instrText xml:space="preserve"> PAGEREF _Toc25887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_Toc23125 </w:instrText>
      </w:r>
      <w:r>
        <w:rPr>
          <w:rFonts w:ascii="宋体" w:hAnsi="宋体"/>
          <w:bCs/>
          <w:lang w:val="zh-CN"/>
        </w:rPr>
        <w:fldChar w:fldCharType="separate"/>
      </w:r>
      <w:r>
        <w:rPr>
          <w:rFonts w:hint="eastAsia" w:ascii="宋体" w:hAnsi="宋体" w:cs="宋体"/>
          <w:bCs/>
          <w:szCs w:val="24"/>
        </w:rPr>
        <w:t>2.2.5典型场景规划：生态/环保相关智慧场景规划</w:t>
      </w:r>
      <w:r>
        <w:rPr>
          <w:rFonts w:hint="eastAsia" w:ascii="宋体" w:hAnsi="宋体" w:cs="宋体"/>
          <w:bCs/>
          <w:szCs w:val="24"/>
          <w:lang w:val="en-US" w:eastAsia="zh-CN"/>
        </w:rPr>
        <w:t>报告</w:t>
      </w:r>
      <w:r>
        <w:tab/>
      </w:r>
      <w:r>
        <w:fldChar w:fldCharType="begin"/>
      </w:r>
      <w:r>
        <w:instrText xml:space="preserve"> PAGEREF _Toc23125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_Toc17640 </w:instrText>
      </w:r>
      <w:r>
        <w:rPr>
          <w:rFonts w:ascii="宋体" w:hAnsi="宋体"/>
          <w:bCs/>
          <w:lang w:val="zh-CN"/>
        </w:rPr>
        <w:fldChar w:fldCharType="separate"/>
      </w:r>
      <w:r>
        <w:rPr>
          <w:rFonts w:hint="eastAsia" w:ascii="宋体" w:hAnsi="宋体" w:cs="宋体"/>
          <w:bCs/>
        </w:rPr>
        <w:t>2.2.6</w:t>
      </w:r>
      <w:r>
        <w:rPr>
          <w:rFonts w:hint="eastAsia" w:ascii="宋体" w:hAnsi="宋体" w:cs="宋体"/>
          <w:bCs/>
          <w:szCs w:val="24"/>
        </w:rPr>
        <w:t>协助蓝图规划编制及汇报</w:t>
      </w:r>
      <w:r>
        <w:tab/>
      </w:r>
      <w:r>
        <w:fldChar w:fldCharType="begin"/>
      </w:r>
      <w:r>
        <w:instrText xml:space="preserve"> PAGEREF _Toc17640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_Toc2299 </w:instrText>
      </w:r>
      <w:r>
        <w:rPr>
          <w:rFonts w:ascii="宋体" w:hAnsi="宋体"/>
          <w:bCs/>
          <w:lang w:val="zh-CN"/>
        </w:rPr>
        <w:fldChar w:fldCharType="separate"/>
      </w:r>
      <w:r>
        <w:rPr>
          <w:rFonts w:hint="eastAsia" w:ascii="宋体" w:hAnsi="宋体" w:cs="宋体"/>
          <w:bCs/>
          <w:szCs w:val="24"/>
        </w:rPr>
        <w:t>2.2.7智能化全流程运营管理规划专项</w:t>
      </w:r>
      <w:r>
        <w:rPr>
          <w:rFonts w:hint="eastAsia" w:ascii="宋体" w:hAnsi="宋体" w:cs="宋体"/>
          <w:bCs/>
          <w:szCs w:val="24"/>
          <w:lang w:val="en-US" w:eastAsia="zh-CN"/>
        </w:rPr>
        <w:t>报告</w:t>
      </w:r>
      <w:r>
        <w:tab/>
      </w:r>
      <w:r>
        <w:fldChar w:fldCharType="begin"/>
      </w:r>
      <w:r>
        <w:instrText xml:space="preserve"> PAGEREF _Toc2299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_Toc18952 </w:instrText>
      </w:r>
      <w:r>
        <w:rPr>
          <w:rFonts w:ascii="宋体" w:hAnsi="宋体"/>
          <w:bCs/>
          <w:lang w:val="zh-CN"/>
        </w:rPr>
        <w:fldChar w:fldCharType="separate"/>
      </w:r>
      <w:r>
        <w:rPr>
          <w:rFonts w:hint="eastAsia" w:ascii="宋体" w:hAnsi="宋体" w:cs="宋体"/>
          <w:bCs/>
          <w:szCs w:val="24"/>
        </w:rPr>
        <w:t>2.2.8环保产业相关应用/平台的实施规划建议和费用分析</w:t>
      </w:r>
      <w:r>
        <w:tab/>
      </w:r>
      <w:r>
        <w:fldChar w:fldCharType="begin"/>
      </w:r>
      <w:r>
        <w:instrText xml:space="preserve"> PAGEREF _Toc18952 \h </w:instrText>
      </w:r>
      <w:r>
        <w:fldChar w:fldCharType="separate"/>
      </w:r>
      <w:r>
        <w:t>7</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_Toc21764 </w:instrText>
      </w:r>
      <w:r>
        <w:rPr>
          <w:rFonts w:ascii="宋体" w:hAnsi="宋体"/>
          <w:bCs/>
          <w:lang w:val="zh-CN"/>
        </w:rPr>
        <w:fldChar w:fldCharType="separate"/>
      </w:r>
      <w:r>
        <w:rPr>
          <w:rFonts w:hint="eastAsia" w:ascii="宋体" w:hAnsi="宋体" w:cs="宋体"/>
          <w:bCs/>
          <w:szCs w:val="24"/>
        </w:rPr>
        <w:t>2.2.</w:t>
      </w:r>
      <w:r>
        <w:rPr>
          <w:rFonts w:hint="eastAsia" w:ascii="宋体" w:hAnsi="宋体" w:cs="宋体"/>
          <w:bCs/>
          <w:szCs w:val="24"/>
          <w:lang w:val="en-US" w:eastAsia="zh-CN"/>
        </w:rPr>
        <w:t>9要求提供不少于三名行业专家顾问服务。</w:t>
      </w:r>
      <w:r>
        <w:tab/>
      </w:r>
      <w:r>
        <w:fldChar w:fldCharType="begin"/>
      </w:r>
      <w:r>
        <w:instrText xml:space="preserve"> PAGEREF _Toc21764 \h </w:instrText>
      </w:r>
      <w:r>
        <w:fldChar w:fldCharType="separate"/>
      </w:r>
      <w:r>
        <w:t>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_Toc10203 </w:instrText>
      </w:r>
      <w:r>
        <w:rPr>
          <w:rFonts w:ascii="宋体" w:hAnsi="宋体"/>
          <w:bCs/>
          <w:lang w:val="zh-CN"/>
        </w:rPr>
        <w:fldChar w:fldCharType="separate"/>
      </w:r>
      <w:r>
        <w:rPr>
          <w:rFonts w:hint="eastAsia"/>
          <w:szCs w:val="24"/>
          <w:highlight w:val="none"/>
        </w:rPr>
        <w:t xml:space="preserve">2.3 </w:t>
      </w:r>
      <w:r>
        <w:rPr>
          <w:rFonts w:hint="eastAsia"/>
          <w:szCs w:val="24"/>
          <w:highlight w:val="none"/>
          <w:lang w:val="en-US" w:eastAsia="zh-CN"/>
        </w:rPr>
        <w:t>*输出成果及要求</w:t>
      </w:r>
      <w:r>
        <w:tab/>
      </w:r>
      <w:r>
        <w:fldChar w:fldCharType="begin"/>
      </w:r>
      <w:r>
        <w:instrText xml:space="preserve"> PAGEREF _Toc10203 \h </w:instrText>
      </w:r>
      <w:r>
        <w:fldChar w:fldCharType="separate"/>
      </w:r>
      <w:r>
        <w:t>8</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_Toc31078 </w:instrText>
      </w:r>
      <w:r>
        <w:rPr>
          <w:rFonts w:ascii="宋体" w:hAnsi="宋体"/>
          <w:bCs/>
          <w:lang w:val="zh-CN"/>
        </w:rPr>
        <w:fldChar w:fldCharType="separate"/>
      </w:r>
      <w:r>
        <w:rPr>
          <w:rFonts w:hint="eastAsia" w:ascii="宋体" w:hAnsi="宋体" w:cs="宋体"/>
          <w:bCs/>
          <w:szCs w:val="24"/>
        </w:rPr>
        <w:t>2.</w:t>
      </w:r>
      <w:r>
        <w:rPr>
          <w:rFonts w:hint="eastAsia" w:ascii="宋体" w:hAnsi="宋体" w:cs="宋体"/>
          <w:bCs/>
          <w:szCs w:val="24"/>
          <w:lang w:val="en-US" w:eastAsia="zh-CN"/>
        </w:rPr>
        <w:t>3</w:t>
      </w:r>
      <w:r>
        <w:rPr>
          <w:rFonts w:hint="eastAsia" w:ascii="宋体" w:hAnsi="宋体" w:cs="宋体"/>
          <w:bCs/>
          <w:szCs w:val="24"/>
        </w:rPr>
        <w:t>.</w:t>
      </w:r>
      <w:r>
        <w:rPr>
          <w:rFonts w:hint="eastAsia" w:ascii="宋体" w:hAnsi="宋体" w:cs="宋体"/>
          <w:bCs/>
          <w:szCs w:val="24"/>
          <w:lang w:val="en-US" w:eastAsia="zh-CN"/>
        </w:rPr>
        <w:t>1各项服务工作内容最终以专项报告的形式输出成果；</w:t>
      </w:r>
      <w:r>
        <w:tab/>
      </w:r>
      <w:r>
        <w:fldChar w:fldCharType="begin"/>
      </w:r>
      <w:r>
        <w:instrText xml:space="preserve"> PAGEREF _Toc31078 \h </w:instrText>
      </w:r>
      <w:r>
        <w:fldChar w:fldCharType="separate"/>
      </w:r>
      <w:r>
        <w:t>8</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_Toc30276 </w:instrText>
      </w:r>
      <w:r>
        <w:rPr>
          <w:rFonts w:ascii="宋体" w:hAnsi="宋体"/>
          <w:bCs/>
          <w:lang w:val="zh-CN"/>
        </w:rPr>
        <w:fldChar w:fldCharType="separate"/>
      </w:r>
      <w:r>
        <w:rPr>
          <w:rFonts w:hint="eastAsia" w:ascii="宋体" w:hAnsi="宋体" w:cs="宋体"/>
          <w:bCs/>
          <w:szCs w:val="24"/>
        </w:rPr>
        <w:t>2.</w:t>
      </w:r>
      <w:r>
        <w:rPr>
          <w:rFonts w:hint="eastAsia" w:ascii="宋体" w:hAnsi="宋体" w:cs="宋体"/>
          <w:bCs/>
          <w:szCs w:val="24"/>
          <w:lang w:val="en-US" w:eastAsia="zh-CN"/>
        </w:rPr>
        <w:t>3</w:t>
      </w:r>
      <w:r>
        <w:rPr>
          <w:rFonts w:hint="eastAsia" w:ascii="宋体" w:hAnsi="宋体" w:cs="宋体"/>
          <w:bCs/>
          <w:szCs w:val="24"/>
        </w:rPr>
        <w:t>.</w:t>
      </w:r>
      <w:r>
        <w:rPr>
          <w:rFonts w:hint="eastAsia" w:ascii="宋体" w:hAnsi="宋体" w:cs="宋体"/>
          <w:bCs/>
          <w:szCs w:val="24"/>
          <w:lang w:val="en-US" w:eastAsia="zh-CN"/>
        </w:rPr>
        <w:t>2服务成果以最终满足甲方的项目验收为标准。</w:t>
      </w:r>
      <w:r>
        <w:tab/>
      </w:r>
      <w:r>
        <w:fldChar w:fldCharType="begin"/>
      </w:r>
      <w:r>
        <w:instrText xml:space="preserve"> PAGEREF _Toc30276 \h </w:instrText>
      </w:r>
      <w:r>
        <w:fldChar w:fldCharType="separate"/>
      </w:r>
      <w:r>
        <w:t>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_Toc31770 </w:instrText>
      </w:r>
      <w:r>
        <w:rPr>
          <w:rFonts w:ascii="宋体" w:hAnsi="宋体"/>
          <w:bCs/>
          <w:lang w:val="zh-CN"/>
        </w:rPr>
        <w:fldChar w:fldCharType="separate"/>
      </w:r>
      <w:r>
        <w:rPr>
          <w:rFonts w:hint="eastAsia"/>
          <w:szCs w:val="24"/>
        </w:rPr>
        <w:t>2.4 *服务期限：自合同签订之日起12个月</w:t>
      </w:r>
      <w:r>
        <w:rPr>
          <w:rFonts w:hint="eastAsia"/>
          <w:szCs w:val="24"/>
          <w:lang w:eastAsia="zh-CN"/>
        </w:rPr>
        <w:t>，</w:t>
      </w:r>
      <w:r>
        <w:rPr>
          <w:rFonts w:hint="eastAsia" w:ascii="宋体" w:hAnsi="宋体" w:cs="宋体"/>
          <w:kern w:val="0"/>
          <w:highlight w:val="none"/>
        </w:rPr>
        <w:t>因不可抗力或不可预估因素造成项目服务期顺延，以配合招标方最终完成</w:t>
      </w:r>
      <w:r>
        <w:rPr>
          <w:rFonts w:hint="eastAsia" w:ascii="宋体" w:hAnsi="宋体" w:cs="宋体"/>
          <w:kern w:val="0"/>
          <w:highlight w:val="none"/>
          <w:lang w:val="en-US" w:eastAsia="zh-CN"/>
        </w:rPr>
        <w:t>项目的</w:t>
      </w:r>
      <w:r>
        <w:rPr>
          <w:rFonts w:hint="eastAsia" w:ascii="宋体" w:hAnsi="宋体" w:cs="宋体"/>
          <w:kern w:val="0"/>
          <w:highlight w:val="none"/>
        </w:rPr>
        <w:t>交付时间为准。</w:t>
      </w:r>
      <w:r>
        <w:tab/>
      </w:r>
      <w:r>
        <w:fldChar w:fldCharType="begin"/>
      </w:r>
      <w:r>
        <w:instrText xml:space="preserve"> PAGEREF _Toc31770 \h </w:instrText>
      </w:r>
      <w:r>
        <w:fldChar w:fldCharType="separate"/>
      </w:r>
      <w:r>
        <w:t>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_Toc17011 </w:instrText>
      </w:r>
      <w:r>
        <w:rPr>
          <w:rFonts w:ascii="宋体" w:hAnsi="宋体"/>
          <w:bCs/>
          <w:lang w:val="zh-CN"/>
        </w:rPr>
        <w:fldChar w:fldCharType="separate"/>
      </w:r>
      <w:r>
        <w:rPr>
          <w:rFonts w:hint="eastAsia"/>
          <w:szCs w:val="24"/>
        </w:rPr>
        <w:t>2.5 *售后服务要求：质保期12个月，故障响应时间24小时以内。</w:t>
      </w:r>
      <w:r>
        <w:tab/>
      </w:r>
      <w:r>
        <w:fldChar w:fldCharType="begin"/>
      </w:r>
      <w:r>
        <w:instrText xml:space="preserve"> PAGEREF _Toc17011 \h </w:instrText>
      </w:r>
      <w:r>
        <w:fldChar w:fldCharType="separate"/>
      </w:r>
      <w:r>
        <w:t>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_Toc16454 </w:instrText>
      </w:r>
      <w:r>
        <w:rPr>
          <w:rFonts w:ascii="宋体" w:hAnsi="宋体"/>
          <w:bCs/>
          <w:lang w:val="zh-CN"/>
        </w:rPr>
        <w:fldChar w:fldCharType="separate"/>
      </w:r>
      <w:r>
        <w:rPr>
          <w:rFonts w:hint="eastAsia"/>
          <w:szCs w:val="24"/>
        </w:rPr>
        <w:t>2.6 *合同计价方式：总价包干合同。</w:t>
      </w:r>
      <w:r>
        <w:tab/>
      </w:r>
      <w:r>
        <w:fldChar w:fldCharType="begin"/>
      </w:r>
      <w:r>
        <w:instrText xml:space="preserve"> PAGEREF _Toc16454 \h </w:instrText>
      </w:r>
      <w:r>
        <w:fldChar w:fldCharType="separate"/>
      </w:r>
      <w:r>
        <w:t>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_Toc2787 </w:instrText>
      </w:r>
      <w:r>
        <w:rPr>
          <w:rFonts w:ascii="宋体" w:hAnsi="宋体"/>
          <w:bCs/>
          <w:lang w:val="zh-CN"/>
        </w:rPr>
        <w:fldChar w:fldCharType="separate"/>
      </w:r>
      <w:r>
        <w:rPr>
          <w:rFonts w:hint="eastAsia"/>
          <w:szCs w:val="24"/>
        </w:rPr>
        <w:t>2.</w:t>
      </w:r>
      <w:r>
        <w:rPr>
          <w:rFonts w:hint="eastAsia"/>
          <w:szCs w:val="24"/>
          <w:lang w:val="en-US" w:eastAsia="zh-CN"/>
        </w:rPr>
        <w:t>7</w:t>
      </w:r>
      <w:r>
        <w:rPr>
          <w:rFonts w:hint="eastAsia"/>
          <w:szCs w:val="24"/>
        </w:rPr>
        <w:t xml:space="preserve"> *报价要求：</w:t>
      </w:r>
      <w:r>
        <w:tab/>
      </w:r>
      <w:r>
        <w:fldChar w:fldCharType="begin"/>
      </w:r>
      <w:r>
        <w:instrText xml:space="preserve"> PAGEREF _Toc2787 \h </w:instrText>
      </w:r>
      <w:r>
        <w:fldChar w:fldCharType="separate"/>
      </w:r>
      <w:r>
        <w:t>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_Toc31419 </w:instrText>
      </w:r>
      <w:r>
        <w:rPr>
          <w:rFonts w:ascii="宋体" w:hAnsi="宋体"/>
          <w:bCs/>
          <w:lang w:val="zh-CN"/>
        </w:rPr>
        <w:fldChar w:fldCharType="separate"/>
      </w:r>
      <w:r>
        <w:rPr>
          <w:rFonts w:hint="eastAsia"/>
          <w:szCs w:val="24"/>
        </w:rPr>
        <w:t>2.</w:t>
      </w:r>
      <w:r>
        <w:rPr>
          <w:rFonts w:hint="eastAsia"/>
          <w:szCs w:val="24"/>
          <w:lang w:val="en-US" w:eastAsia="zh-CN"/>
        </w:rPr>
        <w:t>8</w:t>
      </w:r>
      <w:r>
        <w:rPr>
          <w:rFonts w:hint="eastAsia"/>
          <w:szCs w:val="24"/>
        </w:rPr>
        <w:t xml:space="preserve"> </w:t>
      </w:r>
      <w:r>
        <w:rPr>
          <w:rFonts w:hint="eastAsia" w:cs="宋体"/>
          <w:bCs/>
        </w:rPr>
        <w:t>*付款方式</w:t>
      </w:r>
      <w:r>
        <w:rPr>
          <w:rFonts w:hint="eastAsia"/>
          <w:szCs w:val="24"/>
        </w:rPr>
        <w:t>：</w:t>
      </w:r>
      <w:r>
        <w:tab/>
      </w:r>
      <w:r>
        <w:fldChar w:fldCharType="begin"/>
      </w:r>
      <w:r>
        <w:instrText xml:space="preserve"> PAGEREF _Toc31419 \h </w:instrText>
      </w:r>
      <w:r>
        <w:fldChar w:fldCharType="separate"/>
      </w:r>
      <w:r>
        <w:t>8</w:t>
      </w:r>
      <w:r>
        <w:fldChar w:fldCharType="end"/>
      </w:r>
      <w:r>
        <w:rPr>
          <w:rFonts w:ascii="宋体" w:hAnsi="宋体"/>
          <w:bCs/>
          <w:lang w:val="zh-CN"/>
        </w:rPr>
        <w:fldChar w:fldCharType="end"/>
      </w:r>
    </w:p>
    <w:p>
      <w:pPr>
        <w:pStyle w:val="24"/>
        <w:tabs>
          <w:tab w:val="right" w:leader="dot" w:pos="8312"/>
        </w:tabs>
      </w:pPr>
      <w:r>
        <w:rPr>
          <w:rFonts w:ascii="宋体" w:hAnsi="宋体"/>
          <w:bCs/>
          <w:lang w:val="zh-CN"/>
        </w:rPr>
        <w:fldChar w:fldCharType="begin"/>
      </w:r>
      <w:r>
        <w:rPr>
          <w:rFonts w:ascii="宋体" w:hAnsi="宋体"/>
          <w:bCs/>
          <w:lang w:val="zh-CN"/>
        </w:rPr>
        <w:instrText xml:space="preserve"> HYPERLINK \l _Toc10332 </w:instrText>
      </w:r>
      <w:r>
        <w:rPr>
          <w:rFonts w:ascii="宋体" w:hAnsi="宋体"/>
          <w:bCs/>
          <w:lang w:val="zh-CN"/>
        </w:rPr>
        <w:fldChar w:fldCharType="separate"/>
      </w:r>
      <w:r>
        <w:t xml:space="preserve">第3章 </w:t>
      </w:r>
      <w:r>
        <w:rPr>
          <w:rFonts w:hint="eastAsia"/>
        </w:rPr>
        <w:t>投标人须知</w:t>
      </w:r>
      <w:r>
        <w:tab/>
      </w:r>
      <w:r>
        <w:fldChar w:fldCharType="begin"/>
      </w:r>
      <w:r>
        <w:instrText xml:space="preserve"> PAGEREF _Toc10332 \h </w:instrText>
      </w:r>
      <w:r>
        <w:fldChar w:fldCharType="separate"/>
      </w:r>
      <w:r>
        <w:t>9</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_Toc9072 </w:instrText>
      </w:r>
      <w:r>
        <w:rPr>
          <w:rFonts w:ascii="宋体" w:hAnsi="宋体"/>
          <w:bCs/>
          <w:lang w:val="zh-CN"/>
        </w:rPr>
        <w:fldChar w:fldCharType="separate"/>
      </w:r>
      <w:r>
        <w:rPr>
          <w:rFonts w:hint="eastAsia"/>
          <w:szCs w:val="24"/>
        </w:rPr>
        <w:t>3.1 说明</w:t>
      </w:r>
      <w:r>
        <w:tab/>
      </w:r>
      <w:r>
        <w:fldChar w:fldCharType="begin"/>
      </w:r>
      <w:r>
        <w:instrText xml:space="preserve"> PAGEREF _Toc9072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_Toc29694 </w:instrText>
      </w:r>
      <w:r>
        <w:rPr>
          <w:rFonts w:ascii="宋体" w:hAnsi="宋体"/>
          <w:bCs/>
          <w:lang w:val="zh-CN"/>
        </w:rPr>
        <w:fldChar w:fldCharType="separate"/>
      </w:r>
      <w:r>
        <w:rPr>
          <w:rFonts w:hint="eastAsia" w:ascii="宋体" w:hAnsi="宋体" w:eastAsia="宋体"/>
          <w:szCs w:val="24"/>
        </w:rPr>
        <w:t xml:space="preserve">3.1.1 </w:t>
      </w:r>
      <w:r>
        <w:rPr>
          <w:rFonts w:hint="eastAsia" w:ascii="宋体" w:hAnsi="宋体"/>
          <w:szCs w:val="24"/>
        </w:rPr>
        <w:t>资金来源</w:t>
      </w:r>
      <w:r>
        <w:tab/>
      </w:r>
      <w:r>
        <w:fldChar w:fldCharType="begin"/>
      </w:r>
      <w:r>
        <w:instrText xml:space="preserve"> PAGEREF _Toc29694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_Toc5096 </w:instrText>
      </w:r>
      <w:r>
        <w:rPr>
          <w:rFonts w:ascii="宋体" w:hAnsi="宋体"/>
          <w:bCs/>
          <w:lang w:val="zh-CN"/>
        </w:rPr>
        <w:fldChar w:fldCharType="separate"/>
      </w:r>
      <w:r>
        <w:rPr>
          <w:rFonts w:hint="eastAsia" w:ascii="宋体" w:hAnsi="宋体" w:eastAsia="宋体"/>
          <w:szCs w:val="24"/>
        </w:rPr>
        <w:t xml:space="preserve">3.1.2 </w:t>
      </w:r>
      <w:r>
        <w:rPr>
          <w:rFonts w:hint="eastAsia" w:ascii="宋体" w:hAnsi="宋体"/>
          <w:szCs w:val="24"/>
        </w:rPr>
        <w:t>招标人</w:t>
      </w:r>
      <w:r>
        <w:tab/>
      </w:r>
      <w:r>
        <w:fldChar w:fldCharType="begin"/>
      </w:r>
      <w:r>
        <w:instrText xml:space="preserve"> PAGEREF _Toc5096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_Toc15003 </w:instrText>
      </w:r>
      <w:r>
        <w:rPr>
          <w:rFonts w:ascii="宋体" w:hAnsi="宋体"/>
          <w:bCs/>
          <w:lang w:val="zh-CN"/>
        </w:rPr>
        <w:fldChar w:fldCharType="separate"/>
      </w:r>
      <w:r>
        <w:rPr>
          <w:rFonts w:hint="eastAsia" w:ascii="宋体" w:hAnsi="宋体" w:eastAsia="宋体"/>
          <w:szCs w:val="24"/>
        </w:rPr>
        <w:t xml:space="preserve">3.1.3 </w:t>
      </w:r>
      <w:r>
        <w:rPr>
          <w:rFonts w:hint="eastAsia" w:ascii="宋体" w:hAnsi="宋体"/>
          <w:szCs w:val="24"/>
        </w:rPr>
        <w:t>合格的投标人</w:t>
      </w:r>
      <w:r>
        <w:tab/>
      </w:r>
      <w:r>
        <w:fldChar w:fldCharType="begin"/>
      </w:r>
      <w:r>
        <w:instrText xml:space="preserve"> PAGEREF _Toc15003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_Toc16798 </w:instrText>
      </w:r>
      <w:r>
        <w:rPr>
          <w:rFonts w:ascii="宋体" w:hAnsi="宋体"/>
          <w:bCs/>
          <w:lang w:val="zh-CN"/>
        </w:rPr>
        <w:fldChar w:fldCharType="separate"/>
      </w:r>
      <w:r>
        <w:rPr>
          <w:rFonts w:hint="eastAsia" w:ascii="宋体" w:hAnsi="宋体" w:eastAsia="宋体"/>
          <w:szCs w:val="24"/>
        </w:rPr>
        <w:t xml:space="preserve">3.1.4 </w:t>
      </w:r>
      <w:r>
        <w:rPr>
          <w:rFonts w:hint="eastAsia" w:ascii="宋体" w:hAnsi="宋体"/>
          <w:szCs w:val="24"/>
        </w:rPr>
        <w:t>投标费用</w:t>
      </w:r>
      <w:r>
        <w:tab/>
      </w:r>
      <w:r>
        <w:fldChar w:fldCharType="begin"/>
      </w:r>
      <w:r>
        <w:instrText xml:space="preserve"> PAGEREF _Toc16798 \h </w:instrText>
      </w:r>
      <w:r>
        <w:fldChar w:fldCharType="separate"/>
      </w:r>
      <w:r>
        <w:t>9</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_Toc20461 </w:instrText>
      </w:r>
      <w:r>
        <w:rPr>
          <w:rFonts w:ascii="宋体" w:hAnsi="宋体"/>
          <w:bCs/>
          <w:lang w:val="zh-CN"/>
        </w:rPr>
        <w:fldChar w:fldCharType="separate"/>
      </w:r>
      <w:r>
        <w:rPr>
          <w:rFonts w:hint="eastAsia"/>
          <w:szCs w:val="24"/>
        </w:rPr>
        <w:t>3.2 招标文件</w:t>
      </w:r>
      <w:r>
        <w:tab/>
      </w:r>
      <w:r>
        <w:fldChar w:fldCharType="begin"/>
      </w:r>
      <w:r>
        <w:instrText xml:space="preserve"> PAGEREF _Toc20461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_Toc15594 </w:instrText>
      </w:r>
      <w:r>
        <w:rPr>
          <w:rFonts w:ascii="宋体" w:hAnsi="宋体"/>
          <w:bCs/>
          <w:lang w:val="zh-CN"/>
        </w:rPr>
        <w:fldChar w:fldCharType="separate"/>
      </w:r>
      <w:r>
        <w:rPr>
          <w:rFonts w:hint="eastAsia" w:ascii="宋体" w:hAnsi="宋体" w:eastAsia="宋体"/>
          <w:szCs w:val="24"/>
        </w:rPr>
        <w:t xml:space="preserve">3.2.1 </w:t>
      </w:r>
      <w:r>
        <w:rPr>
          <w:rFonts w:hint="eastAsia" w:ascii="宋体" w:hAnsi="宋体"/>
          <w:szCs w:val="24"/>
        </w:rPr>
        <w:t>招标文件构成</w:t>
      </w:r>
      <w:r>
        <w:tab/>
      </w:r>
      <w:r>
        <w:fldChar w:fldCharType="begin"/>
      </w:r>
      <w:r>
        <w:instrText xml:space="preserve"> PAGEREF _Toc15594 \h </w:instrText>
      </w:r>
      <w:r>
        <w:fldChar w:fldCharType="separate"/>
      </w:r>
      <w:r>
        <w:t>9</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_Toc26727 </w:instrText>
      </w:r>
      <w:r>
        <w:rPr>
          <w:rFonts w:ascii="宋体" w:hAnsi="宋体"/>
          <w:bCs/>
          <w:lang w:val="zh-CN"/>
        </w:rPr>
        <w:fldChar w:fldCharType="separate"/>
      </w:r>
      <w:r>
        <w:rPr>
          <w:rFonts w:hint="eastAsia" w:ascii="宋体" w:hAnsi="宋体" w:eastAsia="宋体"/>
          <w:szCs w:val="24"/>
        </w:rPr>
        <w:t xml:space="preserve">3.2.2 </w:t>
      </w:r>
      <w:r>
        <w:rPr>
          <w:rFonts w:hint="eastAsia" w:ascii="宋体" w:hAnsi="宋体"/>
          <w:szCs w:val="24"/>
        </w:rPr>
        <w:t>招标文件的澄清</w:t>
      </w:r>
      <w:r>
        <w:tab/>
      </w:r>
      <w:r>
        <w:fldChar w:fldCharType="begin"/>
      </w:r>
      <w:r>
        <w:instrText xml:space="preserve"> PAGEREF _Toc26727 \h </w:instrText>
      </w:r>
      <w:r>
        <w:fldChar w:fldCharType="separate"/>
      </w:r>
      <w:r>
        <w:t>10</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_Toc8191 </w:instrText>
      </w:r>
      <w:r>
        <w:rPr>
          <w:rFonts w:ascii="宋体" w:hAnsi="宋体"/>
          <w:bCs/>
          <w:lang w:val="zh-CN"/>
        </w:rPr>
        <w:fldChar w:fldCharType="separate"/>
      </w:r>
      <w:r>
        <w:rPr>
          <w:rFonts w:hint="eastAsia" w:ascii="宋体" w:hAnsi="宋体" w:eastAsia="宋体"/>
          <w:szCs w:val="24"/>
        </w:rPr>
        <w:t xml:space="preserve">3.2.3 </w:t>
      </w:r>
      <w:r>
        <w:rPr>
          <w:rFonts w:hint="eastAsia" w:ascii="宋体" w:hAnsi="宋体"/>
          <w:szCs w:val="24"/>
        </w:rPr>
        <w:t>招标文件的修改</w:t>
      </w:r>
      <w:r>
        <w:tab/>
      </w:r>
      <w:r>
        <w:fldChar w:fldCharType="begin"/>
      </w:r>
      <w:r>
        <w:instrText xml:space="preserve"> PAGEREF _Toc8191 \h </w:instrText>
      </w:r>
      <w:r>
        <w:fldChar w:fldCharType="separate"/>
      </w:r>
      <w:r>
        <w:t>10</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_Toc22201 </w:instrText>
      </w:r>
      <w:r>
        <w:rPr>
          <w:rFonts w:ascii="宋体" w:hAnsi="宋体"/>
          <w:bCs/>
          <w:lang w:val="zh-CN"/>
        </w:rPr>
        <w:fldChar w:fldCharType="separate"/>
      </w:r>
      <w:r>
        <w:rPr>
          <w:rFonts w:hint="eastAsia"/>
          <w:szCs w:val="24"/>
        </w:rPr>
        <w:t>3.3 投标文件的编制</w:t>
      </w:r>
      <w:r>
        <w:tab/>
      </w:r>
      <w:r>
        <w:fldChar w:fldCharType="begin"/>
      </w:r>
      <w:r>
        <w:instrText xml:space="preserve"> PAGEREF _Toc22201 \h </w:instrText>
      </w:r>
      <w:r>
        <w:fldChar w:fldCharType="separate"/>
      </w:r>
      <w:r>
        <w:t>10</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_Toc14068 </w:instrText>
      </w:r>
      <w:r>
        <w:rPr>
          <w:rFonts w:ascii="宋体" w:hAnsi="宋体"/>
          <w:bCs/>
          <w:lang w:val="zh-CN"/>
        </w:rPr>
        <w:fldChar w:fldCharType="separate"/>
      </w:r>
      <w:r>
        <w:rPr>
          <w:rFonts w:hint="eastAsia" w:ascii="宋体" w:hAnsi="宋体" w:eastAsia="宋体"/>
          <w:szCs w:val="24"/>
        </w:rPr>
        <w:t xml:space="preserve">3.3.1 </w:t>
      </w:r>
      <w:r>
        <w:rPr>
          <w:rFonts w:hint="eastAsia" w:ascii="宋体" w:hAnsi="宋体"/>
          <w:szCs w:val="24"/>
        </w:rPr>
        <w:t>投标的语言</w:t>
      </w:r>
      <w:r>
        <w:tab/>
      </w:r>
      <w:r>
        <w:fldChar w:fldCharType="begin"/>
      </w:r>
      <w:r>
        <w:instrText xml:space="preserve"> PAGEREF _Toc14068 \h </w:instrText>
      </w:r>
      <w:r>
        <w:fldChar w:fldCharType="separate"/>
      </w:r>
      <w:r>
        <w:t>10</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_Toc29243 </w:instrText>
      </w:r>
      <w:r>
        <w:rPr>
          <w:rFonts w:ascii="宋体" w:hAnsi="宋体"/>
          <w:bCs/>
          <w:lang w:val="zh-CN"/>
        </w:rPr>
        <w:fldChar w:fldCharType="separate"/>
      </w:r>
      <w:r>
        <w:rPr>
          <w:rFonts w:hint="eastAsia" w:ascii="宋体" w:hAnsi="宋体" w:eastAsia="宋体"/>
          <w:szCs w:val="24"/>
        </w:rPr>
        <w:t xml:space="preserve">3.3.2 </w:t>
      </w:r>
      <w:r>
        <w:rPr>
          <w:rFonts w:hint="eastAsia" w:ascii="宋体" w:hAnsi="宋体"/>
          <w:szCs w:val="24"/>
        </w:rPr>
        <w:t>投标文件构成</w:t>
      </w:r>
      <w:r>
        <w:tab/>
      </w:r>
      <w:r>
        <w:fldChar w:fldCharType="begin"/>
      </w:r>
      <w:r>
        <w:instrText xml:space="preserve"> PAGEREF _Toc29243 \h </w:instrText>
      </w:r>
      <w:r>
        <w:fldChar w:fldCharType="separate"/>
      </w:r>
      <w:r>
        <w:t>10</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_Toc12531 </w:instrText>
      </w:r>
      <w:r>
        <w:rPr>
          <w:rFonts w:ascii="宋体" w:hAnsi="宋体"/>
          <w:bCs/>
          <w:lang w:val="zh-CN"/>
        </w:rPr>
        <w:fldChar w:fldCharType="separate"/>
      </w:r>
      <w:r>
        <w:rPr>
          <w:rFonts w:hint="eastAsia" w:ascii="宋体" w:hAnsi="宋体" w:eastAsia="宋体"/>
          <w:szCs w:val="24"/>
        </w:rPr>
        <w:t xml:space="preserve">3.3.3 </w:t>
      </w:r>
      <w:r>
        <w:rPr>
          <w:rFonts w:hint="eastAsia" w:ascii="宋体" w:hAnsi="宋体"/>
          <w:szCs w:val="24"/>
        </w:rPr>
        <w:t>投标文件格式</w:t>
      </w:r>
      <w:r>
        <w:tab/>
      </w:r>
      <w:r>
        <w:fldChar w:fldCharType="begin"/>
      </w:r>
      <w:r>
        <w:instrText xml:space="preserve"> PAGEREF _Toc12531 \h </w:instrText>
      </w:r>
      <w:r>
        <w:fldChar w:fldCharType="separate"/>
      </w:r>
      <w:r>
        <w:t>11</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_Toc21972 </w:instrText>
      </w:r>
      <w:r>
        <w:rPr>
          <w:rFonts w:ascii="宋体" w:hAnsi="宋体"/>
          <w:bCs/>
          <w:lang w:val="zh-CN"/>
        </w:rPr>
        <w:fldChar w:fldCharType="separate"/>
      </w:r>
      <w:r>
        <w:rPr>
          <w:rFonts w:hint="eastAsia" w:ascii="宋体" w:hAnsi="宋体" w:eastAsia="宋体"/>
          <w:szCs w:val="24"/>
        </w:rPr>
        <w:t xml:space="preserve">3.3.4 </w:t>
      </w:r>
      <w:r>
        <w:rPr>
          <w:rFonts w:hint="eastAsia" w:ascii="宋体" w:hAnsi="宋体"/>
          <w:szCs w:val="24"/>
        </w:rPr>
        <w:t>投标报价和货币</w:t>
      </w:r>
      <w:r>
        <w:tab/>
      </w:r>
      <w:r>
        <w:fldChar w:fldCharType="begin"/>
      </w:r>
      <w:r>
        <w:instrText xml:space="preserve"> PAGEREF _Toc21972 \h </w:instrText>
      </w:r>
      <w:r>
        <w:fldChar w:fldCharType="separate"/>
      </w:r>
      <w:r>
        <w:t>11</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_Toc27652 </w:instrText>
      </w:r>
      <w:r>
        <w:rPr>
          <w:rFonts w:ascii="宋体" w:hAnsi="宋体"/>
          <w:bCs/>
          <w:lang w:val="zh-CN"/>
        </w:rPr>
        <w:fldChar w:fldCharType="separate"/>
      </w:r>
      <w:r>
        <w:rPr>
          <w:rFonts w:hint="eastAsia" w:ascii="宋体" w:hAnsi="宋体" w:eastAsia="宋体"/>
          <w:szCs w:val="24"/>
        </w:rPr>
        <w:t xml:space="preserve">3.3.5 </w:t>
      </w:r>
      <w:r>
        <w:rPr>
          <w:rFonts w:hint="eastAsia" w:ascii="宋体" w:hAnsi="宋体"/>
          <w:szCs w:val="24"/>
        </w:rPr>
        <w:t>投标人资格的证明文件</w:t>
      </w:r>
      <w:r>
        <w:tab/>
      </w:r>
      <w:r>
        <w:fldChar w:fldCharType="begin"/>
      </w:r>
      <w:r>
        <w:instrText xml:space="preserve"> PAGEREF _Toc27652 \h </w:instrText>
      </w:r>
      <w:r>
        <w:fldChar w:fldCharType="separate"/>
      </w:r>
      <w:r>
        <w:t>11</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_Toc25385 </w:instrText>
      </w:r>
      <w:r>
        <w:rPr>
          <w:rFonts w:ascii="宋体" w:hAnsi="宋体"/>
          <w:bCs/>
          <w:lang w:val="zh-CN"/>
        </w:rPr>
        <w:fldChar w:fldCharType="separate"/>
      </w:r>
      <w:r>
        <w:rPr>
          <w:rFonts w:hint="eastAsia" w:ascii="宋体" w:hAnsi="宋体" w:eastAsia="宋体"/>
          <w:szCs w:val="24"/>
        </w:rPr>
        <w:t xml:space="preserve">3.3.6 </w:t>
      </w:r>
      <w:r>
        <w:rPr>
          <w:rFonts w:hint="eastAsia" w:ascii="宋体" w:hAnsi="宋体"/>
          <w:szCs w:val="24"/>
        </w:rPr>
        <w:t>投标有效期</w:t>
      </w:r>
      <w:r>
        <w:tab/>
      </w:r>
      <w:r>
        <w:fldChar w:fldCharType="begin"/>
      </w:r>
      <w:r>
        <w:instrText xml:space="preserve"> PAGEREF _Toc25385 \h </w:instrText>
      </w:r>
      <w:r>
        <w:fldChar w:fldCharType="separate"/>
      </w:r>
      <w:r>
        <w:t>11</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_Toc14351 </w:instrText>
      </w:r>
      <w:r>
        <w:rPr>
          <w:rFonts w:ascii="宋体" w:hAnsi="宋体"/>
          <w:bCs/>
          <w:lang w:val="zh-CN"/>
        </w:rPr>
        <w:fldChar w:fldCharType="separate"/>
      </w:r>
      <w:r>
        <w:rPr>
          <w:rFonts w:hint="eastAsia" w:ascii="宋体" w:hAnsi="宋体" w:eastAsia="宋体"/>
          <w:szCs w:val="24"/>
        </w:rPr>
        <w:t xml:space="preserve">3.3.7 </w:t>
      </w:r>
      <w:r>
        <w:rPr>
          <w:rFonts w:hint="eastAsia" w:ascii="宋体" w:hAnsi="宋体"/>
          <w:szCs w:val="24"/>
        </w:rPr>
        <w:t>投标文件的式样和签署</w:t>
      </w:r>
      <w:r>
        <w:tab/>
      </w:r>
      <w:r>
        <w:fldChar w:fldCharType="begin"/>
      </w:r>
      <w:r>
        <w:instrText xml:space="preserve"> PAGEREF _Toc14351 \h </w:instrText>
      </w:r>
      <w:r>
        <w:fldChar w:fldCharType="separate"/>
      </w:r>
      <w:r>
        <w:t>11</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_Toc5128 </w:instrText>
      </w:r>
      <w:r>
        <w:rPr>
          <w:rFonts w:ascii="宋体" w:hAnsi="宋体"/>
          <w:bCs/>
          <w:lang w:val="zh-CN"/>
        </w:rPr>
        <w:fldChar w:fldCharType="separate"/>
      </w:r>
      <w:r>
        <w:rPr>
          <w:rFonts w:hint="eastAsia"/>
          <w:szCs w:val="24"/>
        </w:rPr>
        <w:t>3.4 投标文件的递交</w:t>
      </w:r>
      <w:r>
        <w:tab/>
      </w:r>
      <w:r>
        <w:fldChar w:fldCharType="begin"/>
      </w:r>
      <w:r>
        <w:instrText xml:space="preserve"> PAGEREF _Toc5128 \h </w:instrText>
      </w:r>
      <w:r>
        <w:fldChar w:fldCharType="separate"/>
      </w:r>
      <w:r>
        <w:t>12</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_Toc4874 </w:instrText>
      </w:r>
      <w:r>
        <w:rPr>
          <w:rFonts w:ascii="宋体" w:hAnsi="宋体"/>
          <w:bCs/>
          <w:lang w:val="zh-CN"/>
        </w:rPr>
        <w:fldChar w:fldCharType="separate"/>
      </w:r>
      <w:r>
        <w:rPr>
          <w:rFonts w:hint="eastAsia" w:ascii="宋体" w:hAnsi="宋体" w:eastAsia="宋体"/>
          <w:szCs w:val="24"/>
        </w:rPr>
        <w:t xml:space="preserve">3.4.1 </w:t>
      </w:r>
      <w:r>
        <w:rPr>
          <w:rFonts w:hint="eastAsia" w:ascii="宋体" w:hAnsi="宋体"/>
          <w:szCs w:val="24"/>
        </w:rPr>
        <w:t>投标文件的密封和标记</w:t>
      </w:r>
      <w:r>
        <w:tab/>
      </w:r>
      <w:r>
        <w:fldChar w:fldCharType="begin"/>
      </w:r>
      <w:r>
        <w:instrText xml:space="preserve"> PAGEREF _Toc4874 \h </w:instrText>
      </w:r>
      <w:r>
        <w:fldChar w:fldCharType="separate"/>
      </w:r>
      <w:r>
        <w:t>12</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_Toc13425 </w:instrText>
      </w:r>
      <w:r>
        <w:rPr>
          <w:rFonts w:ascii="宋体" w:hAnsi="宋体"/>
          <w:bCs/>
          <w:lang w:val="zh-CN"/>
        </w:rPr>
        <w:fldChar w:fldCharType="separate"/>
      </w:r>
      <w:r>
        <w:rPr>
          <w:rFonts w:hint="eastAsia" w:ascii="宋体" w:hAnsi="宋体" w:eastAsia="宋体"/>
          <w:szCs w:val="24"/>
        </w:rPr>
        <w:t xml:space="preserve">3.4.2 </w:t>
      </w:r>
      <w:r>
        <w:rPr>
          <w:rFonts w:hint="eastAsia" w:ascii="宋体" w:hAnsi="宋体"/>
          <w:szCs w:val="24"/>
        </w:rPr>
        <w:t>投标截止期</w:t>
      </w:r>
      <w:r>
        <w:tab/>
      </w:r>
      <w:r>
        <w:fldChar w:fldCharType="begin"/>
      </w:r>
      <w:r>
        <w:instrText xml:space="preserve"> PAGEREF _Toc13425 \h </w:instrText>
      </w:r>
      <w:r>
        <w:fldChar w:fldCharType="separate"/>
      </w:r>
      <w:r>
        <w:t>12</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_Toc12136 </w:instrText>
      </w:r>
      <w:r>
        <w:rPr>
          <w:rFonts w:ascii="宋体" w:hAnsi="宋体"/>
          <w:bCs/>
          <w:lang w:val="zh-CN"/>
        </w:rPr>
        <w:fldChar w:fldCharType="separate"/>
      </w:r>
      <w:r>
        <w:rPr>
          <w:rFonts w:hint="eastAsia" w:ascii="宋体" w:hAnsi="宋体" w:eastAsia="宋体"/>
          <w:szCs w:val="24"/>
        </w:rPr>
        <w:t xml:space="preserve">3.4.3 </w:t>
      </w:r>
      <w:r>
        <w:rPr>
          <w:rFonts w:hint="eastAsia" w:ascii="宋体" w:hAnsi="宋体"/>
          <w:szCs w:val="24"/>
        </w:rPr>
        <w:t>迟交的投标文件</w:t>
      </w:r>
      <w:r>
        <w:tab/>
      </w:r>
      <w:r>
        <w:fldChar w:fldCharType="begin"/>
      </w:r>
      <w:r>
        <w:instrText xml:space="preserve"> PAGEREF _Toc12136 \h </w:instrText>
      </w:r>
      <w:r>
        <w:fldChar w:fldCharType="separate"/>
      </w:r>
      <w:r>
        <w:t>12</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_Toc12718 </w:instrText>
      </w:r>
      <w:r>
        <w:rPr>
          <w:rFonts w:ascii="宋体" w:hAnsi="宋体"/>
          <w:bCs/>
          <w:lang w:val="zh-CN"/>
        </w:rPr>
        <w:fldChar w:fldCharType="separate"/>
      </w:r>
      <w:r>
        <w:rPr>
          <w:rFonts w:hint="eastAsia" w:ascii="宋体" w:hAnsi="宋体" w:eastAsia="宋体"/>
          <w:szCs w:val="24"/>
        </w:rPr>
        <w:t xml:space="preserve">3.4.4 </w:t>
      </w:r>
      <w:r>
        <w:rPr>
          <w:rFonts w:hint="eastAsia" w:ascii="宋体" w:hAnsi="宋体"/>
          <w:szCs w:val="24"/>
        </w:rPr>
        <w:t>投标文件的修改与撤回</w:t>
      </w:r>
      <w:r>
        <w:tab/>
      </w:r>
      <w:r>
        <w:fldChar w:fldCharType="begin"/>
      </w:r>
      <w:r>
        <w:instrText xml:space="preserve"> PAGEREF _Toc12718 \h </w:instrText>
      </w:r>
      <w:r>
        <w:fldChar w:fldCharType="separate"/>
      </w:r>
      <w:r>
        <w:t>12</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_Toc24396 </w:instrText>
      </w:r>
      <w:r>
        <w:rPr>
          <w:rFonts w:ascii="宋体" w:hAnsi="宋体"/>
          <w:bCs/>
          <w:lang w:val="zh-CN"/>
        </w:rPr>
        <w:fldChar w:fldCharType="separate"/>
      </w:r>
      <w:r>
        <w:rPr>
          <w:rFonts w:hint="eastAsia" w:ascii="宋体" w:hAnsi="宋体" w:eastAsia="宋体"/>
          <w:szCs w:val="24"/>
        </w:rPr>
        <w:t xml:space="preserve">3.4.5 </w:t>
      </w:r>
      <w:r>
        <w:rPr>
          <w:rFonts w:hint="eastAsia" w:ascii="宋体" w:hAnsi="宋体"/>
          <w:szCs w:val="24"/>
        </w:rPr>
        <w:t>评标委员会</w:t>
      </w:r>
      <w:r>
        <w:tab/>
      </w:r>
      <w:r>
        <w:fldChar w:fldCharType="begin"/>
      </w:r>
      <w:r>
        <w:instrText xml:space="preserve"> PAGEREF _Toc24396 \h </w:instrText>
      </w:r>
      <w:r>
        <w:fldChar w:fldCharType="separate"/>
      </w:r>
      <w:r>
        <w:t>13</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_Toc20306 </w:instrText>
      </w:r>
      <w:r>
        <w:rPr>
          <w:rFonts w:ascii="宋体" w:hAnsi="宋体"/>
          <w:bCs/>
          <w:lang w:val="zh-CN"/>
        </w:rPr>
        <w:fldChar w:fldCharType="separate"/>
      </w:r>
      <w:r>
        <w:rPr>
          <w:rFonts w:hint="eastAsia"/>
          <w:szCs w:val="24"/>
        </w:rPr>
        <w:t>3.5 开标与评标</w:t>
      </w:r>
      <w:r>
        <w:tab/>
      </w:r>
      <w:r>
        <w:fldChar w:fldCharType="begin"/>
      </w:r>
      <w:r>
        <w:instrText xml:space="preserve"> PAGEREF _Toc20306 \h </w:instrText>
      </w:r>
      <w:r>
        <w:fldChar w:fldCharType="separate"/>
      </w:r>
      <w:r>
        <w:t>13</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_Toc4622 </w:instrText>
      </w:r>
      <w:r>
        <w:rPr>
          <w:rFonts w:ascii="宋体" w:hAnsi="宋体"/>
          <w:bCs/>
          <w:lang w:val="zh-CN"/>
        </w:rPr>
        <w:fldChar w:fldCharType="separate"/>
      </w:r>
      <w:r>
        <w:rPr>
          <w:rFonts w:hint="eastAsia" w:ascii="宋体" w:hAnsi="宋体" w:eastAsia="宋体"/>
          <w:szCs w:val="24"/>
        </w:rPr>
        <w:t xml:space="preserve">3.5.1 </w:t>
      </w:r>
      <w:r>
        <w:rPr>
          <w:rFonts w:hint="eastAsia" w:ascii="宋体" w:hAnsi="宋体"/>
          <w:szCs w:val="24"/>
        </w:rPr>
        <w:t>开标</w:t>
      </w:r>
      <w:r>
        <w:tab/>
      </w:r>
      <w:r>
        <w:fldChar w:fldCharType="begin"/>
      </w:r>
      <w:r>
        <w:instrText xml:space="preserve"> PAGEREF _Toc4622 \h </w:instrText>
      </w:r>
      <w:r>
        <w:fldChar w:fldCharType="separate"/>
      </w:r>
      <w:r>
        <w:t>13</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_Toc22816 </w:instrText>
      </w:r>
      <w:r>
        <w:rPr>
          <w:rFonts w:ascii="宋体" w:hAnsi="宋体"/>
          <w:bCs/>
          <w:lang w:val="zh-CN"/>
        </w:rPr>
        <w:fldChar w:fldCharType="separate"/>
      </w:r>
      <w:r>
        <w:rPr>
          <w:rFonts w:hint="eastAsia" w:ascii="宋体" w:hAnsi="宋体" w:eastAsia="宋体"/>
          <w:szCs w:val="24"/>
        </w:rPr>
        <w:t xml:space="preserve">3.5.2 </w:t>
      </w:r>
      <w:r>
        <w:rPr>
          <w:rFonts w:hint="eastAsia" w:ascii="宋体" w:hAnsi="宋体"/>
          <w:szCs w:val="24"/>
        </w:rPr>
        <w:t>投标文件的澄清</w:t>
      </w:r>
      <w:r>
        <w:tab/>
      </w:r>
      <w:r>
        <w:fldChar w:fldCharType="begin"/>
      </w:r>
      <w:r>
        <w:instrText xml:space="preserve"> PAGEREF _Toc22816 \h </w:instrText>
      </w:r>
      <w:r>
        <w:fldChar w:fldCharType="separate"/>
      </w:r>
      <w:r>
        <w:t>13</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_Toc16137 </w:instrText>
      </w:r>
      <w:r>
        <w:rPr>
          <w:rFonts w:ascii="宋体" w:hAnsi="宋体"/>
          <w:bCs/>
          <w:lang w:val="zh-CN"/>
        </w:rPr>
        <w:fldChar w:fldCharType="separate"/>
      </w:r>
      <w:r>
        <w:rPr>
          <w:rFonts w:hint="eastAsia" w:ascii="宋体" w:hAnsi="宋体" w:eastAsia="宋体"/>
          <w:szCs w:val="24"/>
        </w:rPr>
        <w:t xml:space="preserve">3.5.3 </w:t>
      </w:r>
      <w:r>
        <w:rPr>
          <w:rFonts w:hint="eastAsia" w:ascii="宋体" w:hAnsi="宋体"/>
          <w:szCs w:val="24"/>
        </w:rPr>
        <w:t>投标文件的初审</w:t>
      </w:r>
      <w:r>
        <w:tab/>
      </w:r>
      <w:r>
        <w:fldChar w:fldCharType="begin"/>
      </w:r>
      <w:r>
        <w:instrText xml:space="preserve"> PAGEREF _Toc16137 \h </w:instrText>
      </w:r>
      <w:r>
        <w:fldChar w:fldCharType="separate"/>
      </w:r>
      <w:r>
        <w:t>13</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_Toc24864 </w:instrText>
      </w:r>
      <w:r>
        <w:rPr>
          <w:rFonts w:ascii="宋体" w:hAnsi="宋体"/>
          <w:bCs/>
          <w:lang w:val="zh-CN"/>
        </w:rPr>
        <w:fldChar w:fldCharType="separate"/>
      </w:r>
      <w:r>
        <w:rPr>
          <w:rFonts w:hint="eastAsia"/>
          <w:szCs w:val="24"/>
        </w:rPr>
        <w:t>3.6 评标</w:t>
      </w:r>
      <w:r>
        <w:tab/>
      </w:r>
      <w:r>
        <w:fldChar w:fldCharType="begin"/>
      </w:r>
      <w:r>
        <w:instrText xml:space="preserve"> PAGEREF _Toc24864 \h </w:instrText>
      </w:r>
      <w:r>
        <w:fldChar w:fldCharType="separate"/>
      </w:r>
      <w:r>
        <w:t>14</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_Toc12246 </w:instrText>
      </w:r>
      <w:r>
        <w:rPr>
          <w:rFonts w:ascii="宋体" w:hAnsi="宋体"/>
          <w:bCs/>
          <w:lang w:val="zh-CN"/>
        </w:rPr>
        <w:fldChar w:fldCharType="separate"/>
      </w:r>
      <w:r>
        <w:rPr>
          <w:rFonts w:hint="eastAsia" w:ascii="宋体" w:hAnsi="宋体" w:eastAsia="宋体"/>
          <w:szCs w:val="24"/>
        </w:rPr>
        <w:t xml:space="preserve">3.6.1 </w:t>
      </w:r>
      <w:r>
        <w:rPr>
          <w:rFonts w:hint="eastAsia" w:ascii="宋体" w:hAnsi="宋体"/>
          <w:szCs w:val="24"/>
        </w:rPr>
        <w:t>评标方法：综合评审法</w:t>
      </w:r>
      <w:r>
        <w:tab/>
      </w:r>
      <w:r>
        <w:fldChar w:fldCharType="begin"/>
      </w:r>
      <w:r>
        <w:instrText xml:space="preserve"> PAGEREF _Toc12246 \h </w:instrText>
      </w:r>
      <w:r>
        <w:fldChar w:fldCharType="separate"/>
      </w:r>
      <w:r>
        <w:t>14</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_Toc21361 </w:instrText>
      </w:r>
      <w:r>
        <w:rPr>
          <w:rFonts w:ascii="宋体" w:hAnsi="宋体"/>
          <w:bCs/>
          <w:lang w:val="zh-CN"/>
        </w:rPr>
        <w:fldChar w:fldCharType="separate"/>
      </w:r>
      <w:r>
        <w:rPr>
          <w:rFonts w:hint="eastAsia" w:ascii="宋体" w:hAnsi="宋体" w:eastAsia="宋体"/>
          <w:szCs w:val="24"/>
        </w:rPr>
        <w:t xml:space="preserve">3.6.2 </w:t>
      </w:r>
      <w:r>
        <w:rPr>
          <w:rFonts w:ascii="宋体" w:hAnsi="宋体"/>
          <w:szCs w:val="24"/>
        </w:rPr>
        <w:t>符合性检查</w:t>
      </w:r>
      <w:r>
        <w:tab/>
      </w:r>
      <w:r>
        <w:fldChar w:fldCharType="begin"/>
      </w:r>
      <w:r>
        <w:instrText xml:space="preserve"> PAGEREF _Toc21361 \h </w:instrText>
      </w:r>
      <w:r>
        <w:fldChar w:fldCharType="separate"/>
      </w:r>
      <w:r>
        <w:t>15</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_Toc27996 </w:instrText>
      </w:r>
      <w:r>
        <w:rPr>
          <w:rFonts w:ascii="宋体" w:hAnsi="宋体"/>
          <w:bCs/>
          <w:lang w:val="zh-CN"/>
        </w:rPr>
        <w:fldChar w:fldCharType="separate"/>
      </w:r>
      <w:r>
        <w:rPr>
          <w:rFonts w:hint="eastAsia" w:ascii="宋体" w:hAnsi="宋体" w:eastAsia="宋体"/>
          <w:szCs w:val="24"/>
        </w:rPr>
        <w:t xml:space="preserve">3.6.3 </w:t>
      </w:r>
      <w:r>
        <w:rPr>
          <w:rFonts w:hint="eastAsia" w:ascii="宋体" w:hAnsi="宋体"/>
          <w:szCs w:val="24"/>
        </w:rPr>
        <w:t>不可偏离项检查</w:t>
      </w:r>
      <w:r>
        <w:tab/>
      </w:r>
      <w:r>
        <w:fldChar w:fldCharType="begin"/>
      </w:r>
      <w:r>
        <w:instrText xml:space="preserve"> PAGEREF _Toc27996 \h </w:instrText>
      </w:r>
      <w:r>
        <w:fldChar w:fldCharType="separate"/>
      </w:r>
      <w:r>
        <w:t>15</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_Toc13719 </w:instrText>
      </w:r>
      <w:r>
        <w:rPr>
          <w:rFonts w:ascii="宋体" w:hAnsi="宋体"/>
          <w:bCs/>
          <w:lang w:val="zh-CN"/>
        </w:rPr>
        <w:fldChar w:fldCharType="separate"/>
      </w:r>
      <w:r>
        <w:rPr>
          <w:rFonts w:hint="eastAsia" w:ascii="宋体" w:hAnsi="宋体" w:eastAsia="宋体"/>
          <w:szCs w:val="24"/>
        </w:rPr>
        <w:t xml:space="preserve">3.6.4 </w:t>
      </w:r>
      <w:r>
        <w:rPr>
          <w:rFonts w:ascii="宋体" w:hAnsi="宋体"/>
          <w:szCs w:val="24"/>
        </w:rPr>
        <w:t>价格评议</w:t>
      </w:r>
      <w:r>
        <w:tab/>
      </w:r>
      <w:r>
        <w:fldChar w:fldCharType="begin"/>
      </w:r>
      <w:r>
        <w:instrText xml:space="preserve"> PAGEREF _Toc13719 \h </w:instrText>
      </w:r>
      <w:r>
        <w:fldChar w:fldCharType="separate"/>
      </w:r>
      <w:r>
        <w:t>15</w:t>
      </w:r>
      <w:r>
        <w:fldChar w:fldCharType="end"/>
      </w:r>
      <w:r>
        <w:rPr>
          <w:rFonts w:ascii="宋体" w:hAnsi="宋体"/>
          <w:bCs/>
          <w:lang w:val="zh-CN"/>
        </w:rPr>
        <w:fldChar w:fldCharType="end"/>
      </w:r>
    </w:p>
    <w:p>
      <w:pPr>
        <w:pStyle w:val="17"/>
        <w:tabs>
          <w:tab w:val="right" w:leader="dot" w:pos="8312"/>
        </w:tabs>
      </w:pPr>
      <w:r>
        <w:rPr>
          <w:rFonts w:ascii="宋体" w:hAnsi="宋体"/>
          <w:bCs/>
          <w:lang w:val="zh-CN"/>
        </w:rPr>
        <w:fldChar w:fldCharType="begin"/>
      </w:r>
      <w:r>
        <w:rPr>
          <w:rFonts w:ascii="宋体" w:hAnsi="宋体"/>
          <w:bCs/>
          <w:lang w:val="zh-CN"/>
        </w:rPr>
        <w:instrText xml:space="preserve"> HYPERLINK \l _Toc28253 </w:instrText>
      </w:r>
      <w:r>
        <w:rPr>
          <w:rFonts w:ascii="宋体" w:hAnsi="宋体"/>
          <w:bCs/>
          <w:lang w:val="zh-CN"/>
        </w:rPr>
        <w:fldChar w:fldCharType="separate"/>
      </w:r>
      <w:r>
        <w:rPr>
          <w:rFonts w:hint="eastAsia" w:ascii="宋体" w:hAnsi="宋体" w:eastAsia="宋体"/>
          <w:szCs w:val="24"/>
        </w:rPr>
        <w:t xml:space="preserve">3.6.5 </w:t>
      </w:r>
      <w:r>
        <w:rPr>
          <w:rFonts w:hint="eastAsia" w:ascii="宋体" w:hAnsi="宋体"/>
          <w:szCs w:val="24"/>
        </w:rPr>
        <w:t>商务</w:t>
      </w:r>
      <w:r>
        <w:rPr>
          <w:rFonts w:ascii="宋体" w:hAnsi="宋体"/>
          <w:szCs w:val="24"/>
        </w:rPr>
        <w:t>技术评议</w:t>
      </w:r>
      <w:r>
        <w:tab/>
      </w:r>
      <w:r>
        <w:fldChar w:fldCharType="begin"/>
      </w:r>
      <w:r>
        <w:instrText xml:space="preserve"> PAGEREF _Toc28253 \h </w:instrText>
      </w:r>
      <w:r>
        <w:fldChar w:fldCharType="separate"/>
      </w:r>
      <w:r>
        <w:t>15</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_Toc21851 </w:instrText>
      </w:r>
      <w:r>
        <w:rPr>
          <w:rFonts w:ascii="宋体" w:hAnsi="宋体"/>
          <w:bCs/>
          <w:lang w:val="zh-CN"/>
        </w:rPr>
        <w:fldChar w:fldCharType="separate"/>
      </w:r>
      <w:r>
        <w:rPr>
          <w:rFonts w:hint="eastAsia"/>
          <w:szCs w:val="24"/>
        </w:rPr>
        <w:t>3.7 综合评分表（评分细则）</w:t>
      </w:r>
      <w:r>
        <w:tab/>
      </w:r>
      <w:r>
        <w:fldChar w:fldCharType="begin"/>
      </w:r>
      <w:r>
        <w:instrText xml:space="preserve"> PAGEREF _Toc21851 \h </w:instrText>
      </w:r>
      <w:r>
        <w:fldChar w:fldCharType="separate"/>
      </w:r>
      <w:r>
        <w:t>15</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_Toc23396 </w:instrText>
      </w:r>
      <w:r>
        <w:rPr>
          <w:rFonts w:ascii="宋体" w:hAnsi="宋体"/>
          <w:bCs/>
          <w:lang w:val="zh-CN"/>
        </w:rPr>
        <w:fldChar w:fldCharType="separate"/>
      </w:r>
      <w:r>
        <w:rPr>
          <w:rFonts w:hint="eastAsia"/>
          <w:szCs w:val="24"/>
        </w:rPr>
        <w:t>3.8 资格后审</w:t>
      </w:r>
      <w:r>
        <w:tab/>
      </w:r>
      <w:r>
        <w:fldChar w:fldCharType="begin"/>
      </w:r>
      <w:r>
        <w:instrText xml:space="preserve"> PAGEREF _Toc23396 \h </w:instrText>
      </w:r>
      <w:r>
        <w:fldChar w:fldCharType="separate"/>
      </w:r>
      <w:r>
        <w:t>17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_Toc2927 </w:instrText>
      </w:r>
      <w:r>
        <w:rPr>
          <w:rFonts w:ascii="宋体" w:hAnsi="宋体"/>
          <w:bCs/>
          <w:lang w:val="zh-CN"/>
        </w:rPr>
        <w:fldChar w:fldCharType="separate"/>
      </w:r>
      <w:r>
        <w:rPr>
          <w:rFonts w:hint="eastAsia"/>
          <w:szCs w:val="24"/>
        </w:rPr>
        <w:t>3.9 保密及其它注意事项</w:t>
      </w:r>
      <w:r>
        <w:tab/>
      </w:r>
      <w:r>
        <w:fldChar w:fldCharType="begin"/>
      </w:r>
      <w:r>
        <w:instrText xml:space="preserve"> PAGEREF _Toc2927 \h </w:instrText>
      </w:r>
      <w:r>
        <w:fldChar w:fldCharType="separate"/>
      </w:r>
      <w:r>
        <w:t>17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_Toc6985 </w:instrText>
      </w:r>
      <w:r>
        <w:rPr>
          <w:rFonts w:ascii="宋体" w:hAnsi="宋体"/>
          <w:bCs/>
          <w:lang w:val="zh-CN"/>
        </w:rPr>
        <w:fldChar w:fldCharType="separate"/>
      </w:r>
      <w:r>
        <w:rPr>
          <w:rFonts w:hint="eastAsia"/>
          <w:szCs w:val="24"/>
        </w:rPr>
        <w:t>3.10 评标结果公示</w:t>
      </w:r>
      <w:r>
        <w:tab/>
      </w:r>
      <w:r>
        <w:fldChar w:fldCharType="begin"/>
      </w:r>
      <w:r>
        <w:instrText xml:space="preserve"> PAGEREF _Toc6985 \h </w:instrText>
      </w:r>
      <w:r>
        <w:fldChar w:fldCharType="separate"/>
      </w:r>
      <w:r>
        <w:t>17</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_Toc6264 </w:instrText>
      </w:r>
      <w:r>
        <w:rPr>
          <w:rFonts w:ascii="宋体" w:hAnsi="宋体"/>
          <w:bCs/>
          <w:lang w:val="zh-CN"/>
        </w:rPr>
        <w:fldChar w:fldCharType="separate"/>
      </w:r>
      <w:r>
        <w:rPr>
          <w:rFonts w:hint="eastAsia"/>
          <w:szCs w:val="24"/>
        </w:rPr>
        <w:t>3.11 授予合同</w:t>
      </w:r>
      <w:r>
        <w:tab/>
      </w:r>
      <w:r>
        <w:fldChar w:fldCharType="begin"/>
      </w:r>
      <w:r>
        <w:instrText xml:space="preserve"> PAGEREF _Toc6264 \h </w:instrText>
      </w:r>
      <w:r>
        <w:fldChar w:fldCharType="separate"/>
      </w:r>
      <w:r>
        <w:t>18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_Toc13474 </w:instrText>
      </w:r>
      <w:r>
        <w:rPr>
          <w:rFonts w:ascii="宋体" w:hAnsi="宋体"/>
          <w:bCs/>
          <w:lang w:val="zh-CN"/>
        </w:rPr>
        <w:fldChar w:fldCharType="separate"/>
      </w:r>
      <w:r>
        <w:rPr>
          <w:rFonts w:hint="eastAsia"/>
          <w:szCs w:val="24"/>
        </w:rPr>
        <w:t>3.12 授标时更改服务数量的权利</w:t>
      </w:r>
      <w:r>
        <w:tab/>
      </w:r>
      <w:r>
        <w:fldChar w:fldCharType="begin"/>
      </w:r>
      <w:r>
        <w:instrText xml:space="preserve"> PAGEREF _Toc13474 \h </w:instrText>
      </w:r>
      <w:r>
        <w:fldChar w:fldCharType="separate"/>
      </w:r>
      <w:r>
        <w:t>18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_Toc5936 </w:instrText>
      </w:r>
      <w:r>
        <w:rPr>
          <w:rFonts w:ascii="宋体" w:hAnsi="宋体"/>
          <w:bCs/>
          <w:lang w:val="zh-CN"/>
        </w:rPr>
        <w:fldChar w:fldCharType="separate"/>
      </w:r>
      <w:r>
        <w:rPr>
          <w:rFonts w:hint="eastAsia"/>
          <w:szCs w:val="24"/>
        </w:rPr>
        <w:t>3.13 中标通知书</w:t>
      </w:r>
      <w:r>
        <w:tab/>
      </w:r>
      <w:r>
        <w:fldChar w:fldCharType="begin"/>
      </w:r>
      <w:r>
        <w:instrText xml:space="preserve"> PAGEREF _Toc5936 \h </w:instrText>
      </w:r>
      <w:r>
        <w:fldChar w:fldCharType="separate"/>
      </w:r>
      <w:r>
        <w:t>18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_Toc13266 </w:instrText>
      </w:r>
      <w:r>
        <w:rPr>
          <w:rFonts w:ascii="宋体" w:hAnsi="宋体"/>
          <w:bCs/>
          <w:lang w:val="zh-CN"/>
        </w:rPr>
        <w:fldChar w:fldCharType="separate"/>
      </w:r>
      <w:r>
        <w:rPr>
          <w:rFonts w:hint="eastAsia"/>
          <w:szCs w:val="24"/>
        </w:rPr>
        <w:t>3.14 中标结果公告</w:t>
      </w:r>
      <w:r>
        <w:tab/>
      </w:r>
      <w:r>
        <w:fldChar w:fldCharType="begin"/>
      </w:r>
      <w:r>
        <w:instrText xml:space="preserve"> PAGEREF _Toc13266 \h </w:instrText>
      </w:r>
      <w:r>
        <w:fldChar w:fldCharType="separate"/>
      </w:r>
      <w:r>
        <w:t>18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_Toc5301 </w:instrText>
      </w:r>
      <w:r>
        <w:rPr>
          <w:rFonts w:ascii="宋体" w:hAnsi="宋体"/>
          <w:bCs/>
          <w:lang w:val="zh-CN"/>
        </w:rPr>
        <w:fldChar w:fldCharType="separate"/>
      </w:r>
      <w:r>
        <w:rPr>
          <w:rFonts w:hint="eastAsia"/>
          <w:szCs w:val="24"/>
        </w:rPr>
        <w:t>3.15 签订合同</w:t>
      </w:r>
      <w:r>
        <w:tab/>
      </w:r>
      <w:r>
        <w:fldChar w:fldCharType="begin"/>
      </w:r>
      <w:r>
        <w:instrText xml:space="preserve"> PAGEREF _Toc5301 \h </w:instrText>
      </w:r>
      <w:r>
        <w:fldChar w:fldCharType="separate"/>
      </w:r>
      <w:r>
        <w:t>18</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_Toc674 </w:instrText>
      </w:r>
      <w:r>
        <w:rPr>
          <w:rFonts w:ascii="宋体" w:hAnsi="宋体"/>
          <w:bCs/>
          <w:lang w:val="zh-CN"/>
        </w:rPr>
        <w:fldChar w:fldCharType="separate"/>
      </w:r>
      <w:r>
        <w:rPr>
          <w:rFonts w:hint="eastAsia"/>
          <w:szCs w:val="24"/>
        </w:rPr>
        <w:t>3.16 履约保证金</w:t>
      </w:r>
      <w:r>
        <w:tab/>
      </w:r>
      <w:r>
        <w:fldChar w:fldCharType="begin"/>
      </w:r>
      <w:r>
        <w:instrText xml:space="preserve"> PAGEREF _Toc674 \h </w:instrText>
      </w:r>
      <w:r>
        <w:fldChar w:fldCharType="separate"/>
      </w:r>
      <w:r>
        <w:t>19</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_Toc10312 </w:instrText>
      </w:r>
      <w:r>
        <w:rPr>
          <w:rFonts w:ascii="宋体" w:hAnsi="宋体"/>
          <w:bCs/>
          <w:lang w:val="zh-CN"/>
        </w:rPr>
        <w:fldChar w:fldCharType="separate"/>
      </w:r>
      <w:r>
        <w:rPr>
          <w:rFonts w:hint="eastAsia"/>
          <w:szCs w:val="24"/>
        </w:rPr>
        <w:t>3.17 接受和拒绝任何或所有投标的权力</w:t>
      </w:r>
      <w:r>
        <w:tab/>
      </w:r>
      <w:r>
        <w:fldChar w:fldCharType="begin"/>
      </w:r>
      <w:r>
        <w:instrText xml:space="preserve"> PAGEREF _Toc10312 \h </w:instrText>
      </w:r>
      <w:r>
        <w:fldChar w:fldCharType="separate"/>
      </w:r>
      <w:r>
        <w:t>19</w:t>
      </w:r>
      <w:r>
        <w:fldChar w:fldCharType="end"/>
      </w:r>
      <w:r>
        <w:rPr>
          <w:rFonts w:ascii="宋体" w:hAnsi="宋体"/>
          <w:bCs/>
          <w:lang w:val="zh-CN"/>
        </w:rPr>
        <w:fldChar w:fldCharType="end"/>
      </w:r>
    </w:p>
    <w:p>
      <w:pPr>
        <w:pStyle w:val="24"/>
        <w:tabs>
          <w:tab w:val="right" w:leader="dot" w:pos="8312"/>
        </w:tabs>
      </w:pPr>
      <w:r>
        <w:rPr>
          <w:rFonts w:ascii="宋体" w:hAnsi="宋体"/>
          <w:bCs/>
          <w:lang w:val="zh-CN"/>
        </w:rPr>
        <w:fldChar w:fldCharType="begin"/>
      </w:r>
      <w:r>
        <w:rPr>
          <w:rFonts w:ascii="宋体" w:hAnsi="宋体"/>
          <w:bCs/>
          <w:lang w:val="zh-CN"/>
        </w:rPr>
        <w:instrText xml:space="preserve"> HYPERLINK \l _Toc17794 </w:instrText>
      </w:r>
      <w:r>
        <w:rPr>
          <w:rFonts w:ascii="宋体" w:hAnsi="宋体"/>
          <w:bCs/>
          <w:lang w:val="zh-CN"/>
        </w:rPr>
        <w:fldChar w:fldCharType="separate"/>
      </w:r>
      <w:r>
        <w:t xml:space="preserve">第4章 </w:t>
      </w:r>
      <w:r>
        <w:rPr>
          <w:rFonts w:hint="eastAsia"/>
        </w:rPr>
        <w:t>合同格式</w:t>
      </w:r>
      <w:r>
        <w:tab/>
      </w:r>
      <w:r>
        <w:fldChar w:fldCharType="begin"/>
      </w:r>
      <w:r>
        <w:instrText xml:space="preserve"> PAGEREF _Toc17794 \h </w:instrText>
      </w:r>
      <w:r>
        <w:fldChar w:fldCharType="separate"/>
      </w:r>
      <w:r>
        <w:t>20</w:t>
      </w:r>
      <w:r>
        <w:fldChar w:fldCharType="end"/>
      </w:r>
      <w:r>
        <w:rPr>
          <w:rFonts w:ascii="宋体" w:hAnsi="宋体"/>
          <w:bCs/>
          <w:lang w:val="zh-CN"/>
        </w:rPr>
        <w:fldChar w:fldCharType="end"/>
      </w:r>
    </w:p>
    <w:p>
      <w:pPr>
        <w:pStyle w:val="24"/>
        <w:tabs>
          <w:tab w:val="right" w:leader="dot" w:pos="8312"/>
        </w:tabs>
      </w:pPr>
      <w:r>
        <w:rPr>
          <w:rFonts w:ascii="宋体" w:hAnsi="宋体"/>
          <w:bCs/>
          <w:lang w:val="zh-CN"/>
        </w:rPr>
        <w:fldChar w:fldCharType="begin"/>
      </w:r>
      <w:r>
        <w:rPr>
          <w:rFonts w:ascii="宋体" w:hAnsi="宋体"/>
          <w:bCs/>
          <w:lang w:val="zh-CN"/>
        </w:rPr>
        <w:instrText xml:space="preserve"> HYPERLINK \l _Toc28165 </w:instrText>
      </w:r>
      <w:r>
        <w:rPr>
          <w:rFonts w:ascii="宋体" w:hAnsi="宋体"/>
          <w:bCs/>
          <w:lang w:val="zh-CN"/>
        </w:rPr>
        <w:fldChar w:fldCharType="separate"/>
      </w:r>
      <w:r>
        <w:t xml:space="preserve">第5章 </w:t>
      </w:r>
      <w:r>
        <w:rPr>
          <w:rFonts w:hint="eastAsia"/>
        </w:rPr>
        <w:t>投标文件目录</w:t>
      </w:r>
      <w:r>
        <w:tab/>
      </w:r>
      <w:r>
        <w:fldChar w:fldCharType="begin"/>
      </w:r>
      <w:r>
        <w:instrText xml:space="preserve"> PAGEREF _Toc28165 \h </w:instrText>
      </w:r>
      <w:r>
        <w:fldChar w:fldCharType="separate"/>
      </w:r>
      <w:r>
        <w:t>21</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_Toc13278 </w:instrText>
      </w:r>
      <w:r>
        <w:rPr>
          <w:rFonts w:ascii="宋体" w:hAnsi="宋体"/>
          <w:bCs/>
          <w:lang w:val="zh-CN"/>
        </w:rPr>
        <w:fldChar w:fldCharType="separate"/>
      </w:r>
      <w:r>
        <w:rPr>
          <w:rFonts w:hint="eastAsia"/>
          <w:szCs w:val="24"/>
        </w:rPr>
        <w:t>附件１：投</w:t>
      </w:r>
      <w:r>
        <w:rPr>
          <w:szCs w:val="24"/>
        </w:rPr>
        <w:t xml:space="preserve"> </w:t>
      </w:r>
      <w:r>
        <w:rPr>
          <w:rFonts w:hint="eastAsia"/>
          <w:szCs w:val="24"/>
        </w:rPr>
        <w:t>标</w:t>
      </w:r>
      <w:r>
        <w:rPr>
          <w:szCs w:val="24"/>
        </w:rPr>
        <w:t xml:space="preserve"> </w:t>
      </w:r>
      <w:r>
        <w:rPr>
          <w:rFonts w:hint="eastAsia"/>
          <w:szCs w:val="24"/>
        </w:rPr>
        <w:t>书</w:t>
      </w:r>
      <w:r>
        <w:tab/>
      </w:r>
      <w:r>
        <w:fldChar w:fldCharType="begin"/>
      </w:r>
      <w:r>
        <w:instrText xml:space="preserve"> PAGEREF _Toc13278 \h </w:instrText>
      </w:r>
      <w:r>
        <w:fldChar w:fldCharType="separate"/>
      </w:r>
      <w:r>
        <w:t>21</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_Toc9307 </w:instrText>
      </w:r>
      <w:r>
        <w:rPr>
          <w:rFonts w:ascii="宋体" w:hAnsi="宋体"/>
          <w:bCs/>
          <w:lang w:val="zh-CN"/>
        </w:rPr>
        <w:fldChar w:fldCharType="separate"/>
      </w:r>
      <w:r>
        <w:rPr>
          <w:rFonts w:hint="eastAsia"/>
          <w:szCs w:val="24"/>
        </w:rPr>
        <w:t>附件2：投标廉政承诺书</w:t>
      </w:r>
      <w:r>
        <w:tab/>
      </w:r>
      <w:r>
        <w:fldChar w:fldCharType="begin"/>
      </w:r>
      <w:r>
        <w:instrText xml:space="preserve"> PAGEREF _Toc9307 \h </w:instrText>
      </w:r>
      <w:r>
        <w:fldChar w:fldCharType="separate"/>
      </w:r>
      <w:r>
        <w:t>22</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_Toc19512 </w:instrText>
      </w:r>
      <w:r>
        <w:rPr>
          <w:rFonts w:ascii="宋体" w:hAnsi="宋体"/>
          <w:bCs/>
          <w:lang w:val="zh-CN"/>
        </w:rPr>
        <w:fldChar w:fldCharType="separate"/>
      </w:r>
      <w:r>
        <w:rPr>
          <w:rFonts w:hint="eastAsia"/>
          <w:szCs w:val="24"/>
        </w:rPr>
        <w:t>附件3：开标一览表</w:t>
      </w:r>
      <w:r>
        <w:tab/>
      </w:r>
      <w:r>
        <w:fldChar w:fldCharType="begin"/>
      </w:r>
      <w:r>
        <w:instrText xml:space="preserve"> PAGEREF _Toc19512 \h </w:instrText>
      </w:r>
      <w:r>
        <w:fldChar w:fldCharType="separate"/>
      </w:r>
      <w:r>
        <w:t>23</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_Toc27218 </w:instrText>
      </w:r>
      <w:r>
        <w:rPr>
          <w:rFonts w:ascii="宋体" w:hAnsi="宋体"/>
          <w:bCs/>
          <w:lang w:val="zh-CN"/>
        </w:rPr>
        <w:fldChar w:fldCharType="separate"/>
      </w:r>
      <w:r>
        <w:rPr>
          <w:rFonts w:hint="eastAsia"/>
          <w:szCs w:val="24"/>
        </w:rPr>
        <w:t>附件</w:t>
      </w:r>
      <w:r>
        <w:rPr>
          <w:szCs w:val="24"/>
        </w:rPr>
        <w:t>4</w:t>
      </w:r>
      <w:r>
        <w:rPr>
          <w:rFonts w:hint="eastAsia"/>
          <w:szCs w:val="24"/>
        </w:rPr>
        <w:t>：分项报价清单</w:t>
      </w:r>
      <w:r>
        <w:tab/>
      </w:r>
      <w:r>
        <w:fldChar w:fldCharType="begin"/>
      </w:r>
      <w:r>
        <w:instrText xml:space="preserve"> PAGEREF _Toc27218 \h </w:instrText>
      </w:r>
      <w:r>
        <w:fldChar w:fldCharType="separate"/>
      </w:r>
      <w:r>
        <w:t>24</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_Toc2527 </w:instrText>
      </w:r>
      <w:r>
        <w:rPr>
          <w:rFonts w:ascii="宋体" w:hAnsi="宋体"/>
          <w:bCs/>
          <w:lang w:val="zh-CN"/>
        </w:rPr>
        <w:fldChar w:fldCharType="separate"/>
      </w:r>
      <w:r>
        <w:rPr>
          <w:rFonts w:hint="eastAsia"/>
          <w:szCs w:val="24"/>
        </w:rPr>
        <w:t>附件</w:t>
      </w:r>
      <w:r>
        <w:rPr>
          <w:szCs w:val="24"/>
        </w:rPr>
        <w:t>5</w:t>
      </w:r>
      <w:r>
        <w:rPr>
          <w:rFonts w:hint="eastAsia"/>
          <w:szCs w:val="24"/>
        </w:rPr>
        <w:t>：招标服务条款偏离表</w:t>
      </w:r>
      <w:r>
        <w:tab/>
      </w:r>
      <w:r>
        <w:fldChar w:fldCharType="begin"/>
      </w:r>
      <w:r>
        <w:instrText xml:space="preserve"> PAGEREF _Toc2527 \h </w:instrText>
      </w:r>
      <w:r>
        <w:fldChar w:fldCharType="separate"/>
      </w:r>
      <w:r>
        <w:t>25</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_Toc19674 </w:instrText>
      </w:r>
      <w:r>
        <w:rPr>
          <w:rFonts w:ascii="宋体" w:hAnsi="宋体"/>
          <w:bCs/>
          <w:lang w:val="zh-CN"/>
        </w:rPr>
        <w:fldChar w:fldCharType="separate"/>
      </w:r>
      <w:r>
        <w:rPr>
          <w:rFonts w:hint="eastAsia"/>
          <w:szCs w:val="24"/>
        </w:rPr>
        <w:t>附件6：</w:t>
      </w:r>
      <w:r>
        <w:rPr>
          <w:rFonts w:hint="eastAsia"/>
          <w:snapToGrid w:val="0"/>
        </w:rPr>
        <w:t>投标人资格证明文件</w:t>
      </w:r>
      <w:r>
        <w:tab/>
      </w:r>
      <w:r>
        <w:fldChar w:fldCharType="begin"/>
      </w:r>
      <w:r>
        <w:instrText xml:space="preserve"> PAGEREF _Toc19674 \h </w:instrText>
      </w:r>
      <w:r>
        <w:fldChar w:fldCharType="separate"/>
      </w:r>
      <w:r>
        <w:t>26</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_Toc953 </w:instrText>
      </w:r>
      <w:r>
        <w:rPr>
          <w:rFonts w:ascii="宋体" w:hAnsi="宋体"/>
          <w:bCs/>
          <w:lang w:val="zh-CN"/>
        </w:rPr>
        <w:fldChar w:fldCharType="separate"/>
      </w:r>
      <w:r>
        <w:rPr>
          <w:rFonts w:hint="eastAsia"/>
          <w:szCs w:val="24"/>
        </w:rPr>
        <w:t>附件7：</w:t>
      </w:r>
      <w:r>
        <w:rPr>
          <w:rFonts w:hint="eastAsia"/>
        </w:rPr>
        <w:t>投标单位基本情况介绍，拟指定项目负责人介绍（格式自拟）；</w:t>
      </w:r>
      <w:r>
        <w:tab/>
      </w:r>
      <w:r>
        <w:fldChar w:fldCharType="begin"/>
      </w:r>
      <w:r>
        <w:instrText xml:space="preserve"> PAGEREF _Toc953 \h </w:instrText>
      </w:r>
      <w:r>
        <w:fldChar w:fldCharType="separate"/>
      </w:r>
      <w:r>
        <w:t>26</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_Toc12965 </w:instrText>
      </w:r>
      <w:r>
        <w:rPr>
          <w:rFonts w:ascii="宋体" w:hAnsi="宋体"/>
          <w:bCs/>
          <w:lang w:val="zh-CN"/>
        </w:rPr>
        <w:fldChar w:fldCharType="separate"/>
      </w:r>
      <w:r>
        <w:rPr>
          <w:rFonts w:hint="eastAsia"/>
        </w:rPr>
        <w:t>附件8：项目实施方案（格式自拟）</w:t>
      </w:r>
      <w:r>
        <w:tab/>
      </w:r>
      <w:r>
        <w:fldChar w:fldCharType="begin"/>
      </w:r>
      <w:r>
        <w:instrText xml:space="preserve"> PAGEREF _Toc12965 \h </w:instrText>
      </w:r>
      <w:r>
        <w:fldChar w:fldCharType="separate"/>
      </w:r>
      <w:r>
        <w:t>26</w:t>
      </w:r>
      <w:r>
        <w:fldChar w:fldCharType="end"/>
      </w:r>
      <w:r>
        <w:rPr>
          <w:rFonts w:ascii="宋体" w:hAnsi="宋体"/>
          <w:bCs/>
          <w:lang w:val="zh-CN"/>
        </w:rPr>
        <w:fldChar w:fldCharType="end"/>
      </w:r>
    </w:p>
    <w:p>
      <w:pPr>
        <w:pStyle w:val="25"/>
        <w:tabs>
          <w:tab w:val="right" w:leader="dot" w:pos="8312"/>
          <w:tab w:val="clear" w:pos="1260"/>
          <w:tab w:val="clear" w:pos="8303"/>
        </w:tabs>
      </w:pPr>
      <w:r>
        <w:rPr>
          <w:rFonts w:ascii="宋体" w:hAnsi="宋体"/>
          <w:bCs/>
          <w:lang w:val="zh-CN"/>
        </w:rPr>
        <w:fldChar w:fldCharType="begin"/>
      </w:r>
      <w:r>
        <w:rPr>
          <w:rFonts w:ascii="宋体" w:hAnsi="宋体"/>
          <w:bCs/>
          <w:lang w:val="zh-CN"/>
        </w:rPr>
        <w:instrText xml:space="preserve"> HYPERLINK \l _Toc727 </w:instrText>
      </w:r>
      <w:r>
        <w:rPr>
          <w:rFonts w:ascii="宋体" w:hAnsi="宋体"/>
          <w:bCs/>
          <w:lang w:val="zh-CN"/>
        </w:rPr>
        <w:fldChar w:fldCharType="separate"/>
      </w:r>
      <w:r>
        <w:rPr>
          <w:rFonts w:hint="eastAsia"/>
          <w:szCs w:val="24"/>
        </w:rPr>
        <w:t>附件9：其他投标人认为需增加的内容（如其他承诺）</w:t>
      </w:r>
      <w:r>
        <w:tab/>
      </w:r>
      <w:r>
        <w:fldChar w:fldCharType="begin"/>
      </w:r>
      <w:r>
        <w:instrText xml:space="preserve"> PAGEREF _Toc727 \h </w:instrText>
      </w:r>
      <w:r>
        <w:fldChar w:fldCharType="separate"/>
      </w:r>
      <w:r>
        <w:t>26</w:t>
      </w:r>
      <w:r>
        <w:fldChar w:fldCharType="end"/>
      </w:r>
      <w:r>
        <w:rPr>
          <w:rFonts w:ascii="宋体" w:hAnsi="宋体"/>
          <w:bCs/>
          <w:lang w:val="zh-CN"/>
        </w:rPr>
        <w:fldChar w:fldCharType="end"/>
      </w:r>
    </w:p>
    <w:p>
      <w:r>
        <w:rPr>
          <w:rFonts w:ascii="宋体" w:hAnsi="宋体"/>
          <w:bCs/>
          <w:lang w:val="zh-CN"/>
        </w:rPr>
        <w:fldChar w:fldCharType="end"/>
      </w:r>
    </w:p>
    <w:p>
      <w:pPr>
        <w:rPr>
          <w:rFonts w:ascii="宋体" w:hAnsi="宋体"/>
          <w:sz w:val="24"/>
        </w:rPr>
      </w:pPr>
    </w:p>
    <w:p>
      <w:pPr>
        <w:pStyle w:val="19"/>
        <w:jc w:val="center"/>
        <w:rPr>
          <w:rFonts w:hint="default" w:hAnsi="宋体"/>
          <w:b/>
          <w:sz w:val="24"/>
          <w:szCs w:val="24"/>
        </w:rPr>
      </w:pPr>
    </w:p>
    <w:p>
      <w:pPr>
        <w:rPr>
          <w:rFonts w:ascii="宋体" w:hAnsi="宋体"/>
          <w:sz w:val="24"/>
        </w:rPr>
      </w:pPr>
    </w:p>
    <w:p>
      <w:pPr>
        <w:spacing w:line="360" w:lineRule="auto"/>
        <w:ind w:left="420"/>
        <w:jc w:val="center"/>
        <w:rPr>
          <w:rFonts w:ascii="宋体" w:hAnsi="宋体"/>
          <w:b/>
          <w:sz w:val="24"/>
        </w:rPr>
      </w:pPr>
    </w:p>
    <w:p>
      <w:pPr>
        <w:spacing w:line="360" w:lineRule="auto"/>
        <w:ind w:left="420"/>
        <w:jc w:val="center"/>
        <w:rPr>
          <w:rFonts w:ascii="宋体" w:hAnsi="宋体"/>
          <w:b/>
          <w:sz w:val="24"/>
        </w:rPr>
      </w:pPr>
    </w:p>
    <w:p>
      <w:pPr>
        <w:spacing w:line="360" w:lineRule="auto"/>
        <w:ind w:left="420"/>
        <w:jc w:val="center"/>
        <w:rPr>
          <w:rFonts w:ascii="宋体" w:hAnsi="宋体"/>
          <w:b/>
          <w:sz w:val="24"/>
        </w:rPr>
      </w:pPr>
    </w:p>
    <w:p>
      <w:pPr>
        <w:pStyle w:val="3"/>
      </w:pPr>
      <w:bookmarkStart w:id="2" w:name="_Toc12659"/>
      <w:r>
        <w:rPr>
          <w:rFonts w:hint="eastAsia"/>
        </w:rPr>
        <w:t>招标公告</w:t>
      </w:r>
      <w:bookmarkEnd w:id="2"/>
    </w:p>
    <w:p>
      <w:pPr>
        <w:spacing w:before="120" w:line="276" w:lineRule="auto"/>
        <w:ind w:firstLine="480" w:firstLineChars="200"/>
        <w:rPr>
          <w:rFonts w:ascii="宋体" w:hAnsi="宋体"/>
          <w:sz w:val="24"/>
        </w:rPr>
      </w:pPr>
      <w:r>
        <w:rPr>
          <w:rFonts w:hint="eastAsia" w:ascii="宋体" w:hAnsi="宋体"/>
          <w:sz w:val="24"/>
        </w:rPr>
        <w:t>深圳英飞拓智园科技有限公司就</w:t>
      </w:r>
      <w:r>
        <w:rPr>
          <w:rFonts w:hint="eastAsia" w:ascii="宋体" w:hAnsi="宋体"/>
          <w:sz w:val="24"/>
          <w:u w:val="single"/>
        </w:rPr>
        <w:t>环保产业园生态环保</w:t>
      </w:r>
      <w:r>
        <w:rPr>
          <w:rFonts w:hint="eastAsia" w:ascii="宋体" w:hAnsi="宋体"/>
          <w:sz w:val="24"/>
          <w:u w:val="single"/>
          <w:lang w:val="en-US" w:eastAsia="zh-CN"/>
        </w:rPr>
        <w:t>专家</w:t>
      </w:r>
      <w:r>
        <w:rPr>
          <w:rFonts w:hint="eastAsia" w:ascii="宋体" w:hAnsi="宋体"/>
          <w:sz w:val="24"/>
          <w:u w:val="single"/>
        </w:rPr>
        <w:t>顾问咨询服务项目</w:t>
      </w:r>
      <w:r>
        <w:rPr>
          <w:rFonts w:hint="eastAsia" w:ascii="宋体" w:hAnsi="宋体"/>
          <w:sz w:val="24"/>
        </w:rPr>
        <w:t>进行国内公开招标，欢迎国内合格投标人参加投标。</w:t>
      </w:r>
    </w:p>
    <w:p>
      <w:pPr>
        <w:numPr>
          <w:ilvl w:val="0"/>
          <w:numId w:val="5"/>
        </w:numPr>
        <w:spacing w:line="276" w:lineRule="auto"/>
        <w:rPr>
          <w:rFonts w:ascii="宋体" w:hAnsi="宋体"/>
          <w:sz w:val="24"/>
        </w:rPr>
      </w:pPr>
      <w:r>
        <w:rPr>
          <w:rFonts w:hint="eastAsia" w:ascii="宋体" w:hAnsi="宋体"/>
          <w:sz w:val="24"/>
        </w:rPr>
        <w:t>招标编号：INF-ZXHB2021-00</w:t>
      </w:r>
      <w:r>
        <w:rPr>
          <w:rFonts w:hint="eastAsia" w:ascii="宋体" w:hAnsi="宋体"/>
          <w:sz w:val="24"/>
          <w:lang w:val="en-US" w:eastAsia="zh-CN"/>
        </w:rPr>
        <w:t>3</w:t>
      </w:r>
    </w:p>
    <w:p>
      <w:pPr>
        <w:numPr>
          <w:ilvl w:val="0"/>
          <w:numId w:val="5"/>
        </w:numPr>
        <w:spacing w:line="276" w:lineRule="auto"/>
        <w:rPr>
          <w:rFonts w:ascii="宋体" w:hAnsi="宋体"/>
          <w:sz w:val="24"/>
        </w:rPr>
      </w:pPr>
      <w:r>
        <w:rPr>
          <w:rFonts w:hint="eastAsia" w:ascii="宋体" w:hAnsi="宋体"/>
          <w:sz w:val="24"/>
        </w:rPr>
        <w:t>项目名称：</w:t>
      </w:r>
      <w:r>
        <w:rPr>
          <w:rFonts w:hint="eastAsia" w:ascii="宋体" w:hAnsi="宋体"/>
          <w:sz w:val="24"/>
          <w:u w:val="single"/>
        </w:rPr>
        <w:t>环保产业园生态环保</w:t>
      </w:r>
      <w:r>
        <w:rPr>
          <w:rFonts w:hint="eastAsia" w:ascii="宋体" w:hAnsi="宋体"/>
          <w:sz w:val="24"/>
          <w:u w:val="single"/>
          <w:lang w:val="en-US" w:eastAsia="zh-CN"/>
        </w:rPr>
        <w:t>专家</w:t>
      </w:r>
      <w:r>
        <w:rPr>
          <w:rFonts w:hint="eastAsia" w:ascii="宋体" w:hAnsi="宋体"/>
          <w:sz w:val="24"/>
          <w:u w:val="single"/>
        </w:rPr>
        <w:t>顾问咨询服务项目</w:t>
      </w:r>
    </w:p>
    <w:p>
      <w:pPr>
        <w:numPr>
          <w:ilvl w:val="0"/>
          <w:numId w:val="5"/>
        </w:numPr>
        <w:spacing w:line="276" w:lineRule="auto"/>
        <w:rPr>
          <w:rFonts w:ascii="宋体" w:hAnsi="宋体"/>
          <w:sz w:val="24"/>
        </w:rPr>
      </w:pPr>
      <w:r>
        <w:rPr>
          <w:rFonts w:hint="eastAsia" w:ascii="宋体" w:hAnsi="宋体"/>
          <w:sz w:val="24"/>
        </w:rPr>
        <w:t>资金来源：招标人自筹。</w:t>
      </w:r>
    </w:p>
    <w:p>
      <w:pPr>
        <w:numPr>
          <w:ilvl w:val="0"/>
          <w:numId w:val="5"/>
        </w:numPr>
        <w:spacing w:line="276" w:lineRule="auto"/>
        <w:ind w:left="-2" w:leftChars="-1" w:firstLine="0"/>
        <w:jc w:val="left"/>
        <w:rPr>
          <w:rFonts w:ascii="宋体" w:hAnsi="宋体"/>
          <w:sz w:val="24"/>
        </w:rPr>
      </w:pPr>
      <w:r>
        <w:rPr>
          <w:rFonts w:hint="eastAsia" w:ascii="宋体" w:hAnsi="宋体"/>
          <w:sz w:val="24"/>
        </w:rPr>
        <w:t>招标控制价：人民币</w:t>
      </w:r>
      <w:r>
        <w:rPr>
          <w:rFonts w:hint="eastAsia" w:ascii="宋体" w:hAnsi="宋体"/>
          <w:sz w:val="24"/>
          <w:lang w:val="en-US" w:eastAsia="zh-CN"/>
        </w:rPr>
        <w:t>7</w:t>
      </w:r>
      <w:r>
        <w:rPr>
          <w:rFonts w:hint="eastAsia" w:ascii="宋体" w:hAnsi="宋体"/>
          <w:sz w:val="24"/>
        </w:rPr>
        <w:t>5万元。</w:t>
      </w:r>
    </w:p>
    <w:p>
      <w:pPr>
        <w:numPr>
          <w:ilvl w:val="0"/>
          <w:numId w:val="5"/>
        </w:numPr>
        <w:spacing w:line="276" w:lineRule="auto"/>
        <w:rPr>
          <w:rFonts w:ascii="宋体" w:hAnsi="宋体"/>
          <w:color w:val="000000"/>
          <w:sz w:val="24"/>
        </w:rPr>
      </w:pPr>
      <w:r>
        <w:rPr>
          <w:rFonts w:hint="eastAsia" w:ascii="宋体" w:hAnsi="宋体"/>
          <w:sz w:val="24"/>
        </w:rPr>
        <w:t>服务期限：</w:t>
      </w:r>
      <w:r>
        <w:rPr>
          <w:rFonts w:hint="eastAsia" w:ascii="宋体" w:hAnsi="宋体" w:cs="宋体"/>
          <w:color w:val="auto"/>
          <w:kern w:val="0"/>
          <w:sz w:val="24"/>
          <w:highlight w:val="none"/>
        </w:rPr>
        <w:t>自合同签订之日起12个月，因不可抗力或不可预估因素造成项目服务期顺延，以配合招标方最终完成</w:t>
      </w:r>
      <w:r>
        <w:rPr>
          <w:rFonts w:hint="eastAsia" w:ascii="宋体" w:hAnsi="宋体" w:cs="宋体"/>
          <w:color w:val="auto"/>
          <w:kern w:val="0"/>
          <w:sz w:val="24"/>
          <w:highlight w:val="none"/>
          <w:lang w:val="en-US" w:eastAsia="zh-CN"/>
        </w:rPr>
        <w:t>项目的</w:t>
      </w:r>
      <w:r>
        <w:rPr>
          <w:rFonts w:hint="eastAsia" w:ascii="宋体" w:hAnsi="宋体" w:cs="宋体"/>
          <w:color w:val="auto"/>
          <w:kern w:val="0"/>
          <w:sz w:val="24"/>
          <w:highlight w:val="none"/>
        </w:rPr>
        <w:t>交付时间为准。</w:t>
      </w:r>
    </w:p>
    <w:p>
      <w:pPr>
        <w:numPr>
          <w:ilvl w:val="0"/>
          <w:numId w:val="5"/>
        </w:numPr>
        <w:spacing w:line="276" w:lineRule="auto"/>
        <w:rPr>
          <w:rFonts w:ascii="宋体" w:hAnsi="宋体"/>
          <w:sz w:val="24"/>
        </w:rPr>
      </w:pPr>
      <w:r>
        <w:rPr>
          <w:rFonts w:hint="eastAsia" w:ascii="宋体" w:hAnsi="宋体"/>
          <w:sz w:val="24"/>
        </w:rPr>
        <w:t>中标人数量：1家。综合排名第一位为第一中标候选人，第二位为第二中标候选人。</w:t>
      </w:r>
    </w:p>
    <w:p>
      <w:pPr>
        <w:numPr>
          <w:ilvl w:val="0"/>
          <w:numId w:val="5"/>
        </w:numPr>
        <w:spacing w:line="276" w:lineRule="auto"/>
        <w:rPr>
          <w:rFonts w:ascii="宋体" w:hAnsi="宋体"/>
          <w:sz w:val="24"/>
        </w:rPr>
      </w:pPr>
      <w:r>
        <w:rPr>
          <w:rFonts w:hint="eastAsia" w:ascii="宋体" w:hAnsi="宋体"/>
          <w:sz w:val="24"/>
        </w:rPr>
        <w:t>投标保证金：无。</w:t>
      </w:r>
    </w:p>
    <w:p>
      <w:pPr>
        <w:numPr>
          <w:ilvl w:val="0"/>
          <w:numId w:val="5"/>
        </w:numPr>
        <w:spacing w:line="276" w:lineRule="auto"/>
        <w:rPr>
          <w:rFonts w:ascii="宋体" w:hAnsi="宋体"/>
          <w:sz w:val="24"/>
        </w:rPr>
      </w:pPr>
      <w:r>
        <w:rPr>
          <w:rFonts w:hint="eastAsia" w:ascii="宋体" w:hAnsi="宋体"/>
          <w:sz w:val="24"/>
        </w:rPr>
        <w:t>履约保证金：无。</w:t>
      </w:r>
    </w:p>
    <w:p>
      <w:pPr>
        <w:numPr>
          <w:ilvl w:val="0"/>
          <w:numId w:val="5"/>
        </w:numPr>
        <w:spacing w:line="276" w:lineRule="auto"/>
        <w:rPr>
          <w:rFonts w:ascii="宋体" w:hAnsi="宋体"/>
          <w:sz w:val="24"/>
        </w:rPr>
      </w:pPr>
      <w:r>
        <w:rPr>
          <w:rFonts w:hint="eastAsia" w:ascii="宋体" w:hAnsi="宋体"/>
          <w:sz w:val="24"/>
        </w:rPr>
        <w:t>投标人资格条件：</w:t>
      </w:r>
    </w:p>
    <w:p>
      <w:pPr>
        <w:spacing w:line="276" w:lineRule="auto"/>
        <w:ind w:left="420"/>
        <w:rPr>
          <w:rFonts w:ascii="宋体" w:hAnsi="宋体" w:cs="Arial"/>
          <w:kern w:val="0"/>
          <w:sz w:val="24"/>
        </w:rPr>
      </w:pPr>
      <w:r>
        <w:rPr>
          <w:rFonts w:hint="eastAsia" w:ascii="宋体" w:hAnsi="宋体" w:cs="Arial"/>
          <w:kern w:val="0"/>
          <w:sz w:val="24"/>
        </w:rPr>
        <w:t>1）在中华人民共和国境内注册的法人或能够独立承担民事责任的其他组织（投标人须提供营业执照或事业单位法人证等证明扫描件或复印件加盖投标人公章）。</w:t>
      </w:r>
    </w:p>
    <w:p>
      <w:pPr>
        <w:spacing w:line="276" w:lineRule="auto"/>
        <w:ind w:left="420"/>
        <w:rPr>
          <w:rFonts w:ascii="宋体" w:hAnsi="宋体" w:cs="Arial"/>
          <w:kern w:val="0"/>
          <w:sz w:val="24"/>
        </w:rPr>
      </w:pPr>
      <w:r>
        <w:rPr>
          <w:rFonts w:hint="eastAsia" w:ascii="宋体" w:hAnsi="宋体" w:cs="Arial"/>
          <w:kern w:val="0"/>
          <w:sz w:val="24"/>
        </w:rPr>
        <w:t>2）截至评标前，投标人在信用中国网站（www.creditchina.gov.cn）和中国政府采购网（www.ccgp.gov.cn）查无不良信用记录（不良信用记录是指供应商被列入失信被执行人、重大税收违法案件当事人名单、政府采购严重违法失信行为记录名单的）。</w:t>
      </w:r>
    </w:p>
    <w:p>
      <w:pPr>
        <w:spacing w:line="276" w:lineRule="auto"/>
        <w:ind w:left="420"/>
        <w:rPr>
          <w:rFonts w:ascii="宋体" w:hAnsi="宋体" w:cs="Arial"/>
          <w:kern w:val="0"/>
          <w:sz w:val="24"/>
        </w:rPr>
      </w:pPr>
      <w:r>
        <w:rPr>
          <w:rFonts w:hint="eastAsia" w:ascii="宋体" w:hAnsi="宋体" w:cs="Arial"/>
          <w:kern w:val="0"/>
          <w:sz w:val="24"/>
        </w:rPr>
        <w:t>3）与其他投标供应商不存在单位负责人为同一人或者存在直接控股、管理关系（由供应商做出承诺，格式自拟）。</w:t>
      </w:r>
    </w:p>
    <w:p>
      <w:pPr>
        <w:spacing w:line="276" w:lineRule="auto"/>
        <w:ind w:left="420"/>
        <w:rPr>
          <w:rFonts w:ascii="宋体" w:hAnsi="宋体"/>
          <w:b/>
          <w:sz w:val="24"/>
        </w:rPr>
      </w:pPr>
      <w:r>
        <w:rPr>
          <w:rFonts w:ascii="宋体" w:hAnsi="宋体" w:cs="Arial"/>
          <w:kern w:val="0"/>
          <w:sz w:val="24"/>
        </w:rPr>
        <w:t>4</w:t>
      </w:r>
      <w:r>
        <w:rPr>
          <w:rFonts w:hint="eastAsia" w:ascii="宋体" w:hAnsi="宋体" w:cs="Arial"/>
          <w:kern w:val="0"/>
          <w:sz w:val="24"/>
        </w:rPr>
        <w:t>）本项目不接受联合体投标。</w:t>
      </w:r>
    </w:p>
    <w:p>
      <w:pPr>
        <w:numPr>
          <w:ilvl w:val="0"/>
          <w:numId w:val="5"/>
        </w:numPr>
        <w:spacing w:line="276" w:lineRule="auto"/>
        <w:rPr>
          <w:rFonts w:ascii="宋体" w:hAnsi="宋体" w:cs="Arial"/>
          <w:kern w:val="0"/>
          <w:sz w:val="24"/>
        </w:rPr>
      </w:pPr>
      <w:r>
        <w:rPr>
          <w:rFonts w:hint="eastAsia" w:ascii="宋体" w:hAnsi="宋体" w:cs="Arial"/>
          <w:kern w:val="0"/>
          <w:sz w:val="24"/>
        </w:rPr>
        <w:t>投标报名</w:t>
      </w:r>
    </w:p>
    <w:p>
      <w:pPr>
        <w:spacing w:line="276" w:lineRule="auto"/>
        <w:ind w:left="420"/>
        <w:rPr>
          <w:rFonts w:ascii="宋体" w:hAnsi="宋体" w:cs="Arial"/>
          <w:kern w:val="0"/>
          <w:sz w:val="24"/>
        </w:rPr>
      </w:pPr>
      <w:r>
        <w:rPr>
          <w:rFonts w:hint="eastAsia" w:ascii="宋体" w:hAnsi="宋体" w:cs="Arial"/>
          <w:kern w:val="0"/>
          <w:sz w:val="24"/>
        </w:rPr>
        <w:t>1、购买标书时间:</w:t>
      </w:r>
      <w:r>
        <w:rPr>
          <w:rFonts w:hint="eastAsia" w:ascii="宋体" w:hAnsi="宋体" w:cs="Arial"/>
          <w:kern w:val="0"/>
          <w:sz w:val="24"/>
          <w:highlight w:val="yellow"/>
        </w:rPr>
        <w:t xml:space="preserve"> 2021年</w:t>
      </w:r>
      <w:r>
        <w:rPr>
          <w:rFonts w:hint="eastAsia" w:ascii="宋体" w:hAnsi="宋体" w:cs="Arial"/>
          <w:kern w:val="0"/>
          <w:sz w:val="24"/>
          <w:highlight w:val="yellow"/>
          <w:lang w:val="en-US" w:eastAsia="zh-CN"/>
        </w:rPr>
        <w:t>7</w:t>
      </w:r>
      <w:r>
        <w:rPr>
          <w:rFonts w:hint="eastAsia" w:ascii="宋体" w:hAnsi="宋体" w:cs="Arial"/>
          <w:kern w:val="0"/>
          <w:sz w:val="24"/>
          <w:highlight w:val="yellow"/>
        </w:rPr>
        <w:t>月</w:t>
      </w:r>
      <w:r>
        <w:rPr>
          <w:rFonts w:hint="eastAsia" w:ascii="宋体" w:hAnsi="宋体" w:cs="Arial"/>
          <w:kern w:val="0"/>
          <w:sz w:val="24"/>
          <w:highlight w:val="yellow"/>
          <w:lang w:val="en-US" w:eastAsia="zh-CN"/>
        </w:rPr>
        <w:t>20</w:t>
      </w:r>
      <w:r>
        <w:rPr>
          <w:rFonts w:hint="eastAsia" w:ascii="宋体" w:hAnsi="宋体" w:cs="Arial"/>
          <w:kern w:val="0"/>
          <w:sz w:val="24"/>
          <w:highlight w:val="yellow"/>
        </w:rPr>
        <w:t>日至2021年</w:t>
      </w:r>
      <w:r>
        <w:rPr>
          <w:rFonts w:hint="eastAsia" w:ascii="宋体" w:hAnsi="宋体" w:cs="Arial"/>
          <w:kern w:val="0"/>
          <w:sz w:val="24"/>
          <w:highlight w:val="yellow"/>
          <w:lang w:val="en-US" w:eastAsia="zh-CN"/>
        </w:rPr>
        <w:t>7</w:t>
      </w:r>
      <w:r>
        <w:rPr>
          <w:rFonts w:hint="eastAsia" w:ascii="宋体" w:hAnsi="宋体" w:cs="Arial"/>
          <w:kern w:val="0"/>
          <w:sz w:val="24"/>
          <w:highlight w:val="yellow"/>
        </w:rPr>
        <w:t>月</w:t>
      </w:r>
      <w:r>
        <w:rPr>
          <w:rFonts w:hint="eastAsia" w:ascii="宋体" w:hAnsi="宋体" w:cs="Arial"/>
          <w:kern w:val="0"/>
          <w:sz w:val="24"/>
          <w:highlight w:val="yellow"/>
          <w:lang w:val="en-US" w:eastAsia="zh-CN"/>
        </w:rPr>
        <w:t>21</w:t>
      </w:r>
      <w:r>
        <w:rPr>
          <w:rFonts w:hint="eastAsia" w:ascii="宋体" w:hAnsi="宋体" w:cs="Arial"/>
          <w:kern w:val="0"/>
          <w:sz w:val="24"/>
          <w:highlight w:val="yellow"/>
        </w:rPr>
        <w:t>日</w:t>
      </w:r>
      <w:r>
        <w:rPr>
          <w:rFonts w:hint="eastAsia" w:ascii="宋体" w:hAnsi="宋体" w:cs="Arial"/>
          <w:kern w:val="0"/>
          <w:sz w:val="24"/>
        </w:rPr>
        <w:t>（每日上午9：00-11：00，下午14：20-17：00分，节假日不对外办公。）；</w:t>
      </w:r>
    </w:p>
    <w:p>
      <w:pPr>
        <w:spacing w:line="276" w:lineRule="auto"/>
        <w:ind w:left="420"/>
        <w:rPr>
          <w:rFonts w:ascii="宋体" w:hAnsi="宋体" w:cs="Arial"/>
          <w:kern w:val="0"/>
          <w:sz w:val="24"/>
        </w:rPr>
      </w:pPr>
      <w:r>
        <w:rPr>
          <w:rFonts w:hint="eastAsia" w:ascii="宋体" w:hAnsi="宋体" w:cs="Arial"/>
          <w:kern w:val="0"/>
          <w:sz w:val="24"/>
        </w:rPr>
        <w:t>2、本项目为现场报名。地址:</w:t>
      </w:r>
      <w:r>
        <w:rPr>
          <w:rFonts w:hint="eastAsia" w:ascii="宋体" w:hAnsi="宋体" w:cs="Arial"/>
          <w:sz w:val="24"/>
        </w:rPr>
        <w:t>深圳市龙华区环观南路高新技术产业开发区英飞拓园区采购部。</w:t>
      </w:r>
    </w:p>
    <w:p>
      <w:pPr>
        <w:spacing w:line="276" w:lineRule="auto"/>
        <w:ind w:left="420"/>
        <w:rPr>
          <w:rFonts w:ascii="宋体" w:hAnsi="宋体" w:cs="Arial"/>
          <w:kern w:val="0"/>
          <w:sz w:val="24"/>
        </w:rPr>
      </w:pPr>
      <w:r>
        <w:rPr>
          <w:rFonts w:hint="eastAsia" w:ascii="宋体" w:hAnsi="宋体" w:cs="Arial"/>
          <w:kern w:val="0"/>
          <w:sz w:val="24"/>
        </w:rPr>
        <w:t>3、所需资料：</w:t>
      </w:r>
    </w:p>
    <w:p>
      <w:pPr>
        <w:spacing w:line="276" w:lineRule="auto"/>
        <w:ind w:left="420"/>
        <w:rPr>
          <w:rFonts w:ascii="宋体" w:hAnsi="宋体" w:cs="Arial"/>
          <w:kern w:val="0"/>
          <w:sz w:val="24"/>
        </w:rPr>
      </w:pPr>
      <w:r>
        <w:rPr>
          <w:rFonts w:hint="eastAsia" w:ascii="宋体" w:hAnsi="宋体" w:cs="Arial"/>
          <w:kern w:val="0"/>
          <w:sz w:val="24"/>
        </w:rPr>
        <w:t>1）法定代表人证明书、法定代表人授权委托书（投标文件由法定代表人签署时，可不提供法人授权委托证明书）；</w:t>
      </w:r>
    </w:p>
    <w:p>
      <w:pPr>
        <w:spacing w:line="276" w:lineRule="auto"/>
        <w:ind w:left="420"/>
        <w:rPr>
          <w:rFonts w:ascii="宋体" w:hAnsi="宋体" w:cs="Arial"/>
          <w:kern w:val="0"/>
          <w:sz w:val="24"/>
        </w:rPr>
      </w:pPr>
      <w:r>
        <w:rPr>
          <w:rFonts w:hint="eastAsia" w:ascii="宋体" w:hAnsi="宋体" w:cs="Arial"/>
          <w:kern w:val="0"/>
          <w:sz w:val="24"/>
        </w:rPr>
        <w:t>2）投标人营业执照副本的复印件；</w:t>
      </w:r>
    </w:p>
    <w:p>
      <w:pPr>
        <w:spacing w:line="276" w:lineRule="auto"/>
        <w:ind w:left="420"/>
        <w:rPr>
          <w:rFonts w:ascii="宋体" w:hAnsi="宋体" w:cs="Arial"/>
          <w:kern w:val="0"/>
          <w:sz w:val="24"/>
        </w:rPr>
      </w:pPr>
      <w:r>
        <w:rPr>
          <w:rFonts w:hint="eastAsia" w:ascii="宋体" w:hAnsi="宋体" w:cs="Arial"/>
          <w:kern w:val="0"/>
          <w:sz w:val="24"/>
        </w:rPr>
        <w:t>3）提供满足投标人资格要求的其他证明材料。</w:t>
      </w:r>
    </w:p>
    <w:p>
      <w:pPr>
        <w:spacing w:line="276" w:lineRule="auto"/>
        <w:ind w:left="420"/>
        <w:rPr>
          <w:rFonts w:ascii="宋体" w:hAnsi="宋体" w:cs="Arial"/>
          <w:kern w:val="0"/>
          <w:sz w:val="24"/>
        </w:rPr>
      </w:pPr>
      <w:r>
        <w:rPr>
          <w:rFonts w:hint="eastAsia" w:ascii="宋体" w:hAnsi="宋体" w:cs="Arial"/>
          <w:kern w:val="0"/>
          <w:sz w:val="24"/>
        </w:rPr>
        <w:t>报名时由招标人对投标人是否符合本公告“</w:t>
      </w:r>
      <w:r>
        <w:rPr>
          <w:rFonts w:ascii="宋体" w:hAnsi="宋体" w:cs="Arial"/>
          <w:kern w:val="0"/>
          <w:sz w:val="24"/>
        </w:rPr>
        <w:t>9</w:t>
      </w:r>
      <w:r>
        <w:rPr>
          <w:rFonts w:hint="eastAsia" w:ascii="宋体" w:hAnsi="宋体" w:cs="Arial"/>
          <w:kern w:val="0"/>
          <w:sz w:val="24"/>
        </w:rPr>
        <w:t>.投标人资格条件”规定进行审查，审查结果只表明投标人符合购买招标文件的初步要求。投标人是否满足招标文件规定的资格要求以评标委员会资格后审意见为准。</w:t>
      </w:r>
    </w:p>
    <w:p>
      <w:pPr>
        <w:numPr>
          <w:ilvl w:val="0"/>
          <w:numId w:val="5"/>
        </w:numPr>
        <w:spacing w:line="276" w:lineRule="auto"/>
        <w:rPr>
          <w:rFonts w:ascii="宋体" w:hAnsi="宋体"/>
          <w:sz w:val="24"/>
        </w:rPr>
      </w:pPr>
      <w:r>
        <w:rPr>
          <w:rFonts w:hint="eastAsia" w:ascii="宋体" w:hAnsi="宋体"/>
          <w:sz w:val="24"/>
        </w:rPr>
        <w:t>投标人提交招标文件疑问截止时间为</w:t>
      </w:r>
      <w:r>
        <w:rPr>
          <w:rFonts w:hint="eastAsia" w:ascii="宋体" w:hAnsi="宋体"/>
          <w:sz w:val="24"/>
          <w:highlight w:val="yellow"/>
        </w:rPr>
        <w:t>20</w:t>
      </w:r>
      <w:r>
        <w:rPr>
          <w:rFonts w:ascii="宋体" w:hAnsi="宋体"/>
          <w:sz w:val="24"/>
          <w:highlight w:val="yellow"/>
        </w:rPr>
        <w:t>21</w:t>
      </w:r>
      <w:r>
        <w:rPr>
          <w:rFonts w:hint="eastAsia" w:ascii="宋体" w:hAnsi="宋体"/>
          <w:sz w:val="24"/>
          <w:highlight w:val="yellow"/>
        </w:rPr>
        <w:t>年7月</w:t>
      </w:r>
      <w:r>
        <w:rPr>
          <w:rFonts w:hint="eastAsia" w:ascii="宋体" w:hAnsi="宋体"/>
          <w:sz w:val="24"/>
          <w:highlight w:val="yellow"/>
          <w:lang w:val="en-US" w:eastAsia="zh-CN"/>
        </w:rPr>
        <w:t>21</w:t>
      </w:r>
      <w:r>
        <w:rPr>
          <w:rFonts w:hint="eastAsia" w:ascii="宋体" w:hAnsi="宋体"/>
          <w:sz w:val="24"/>
          <w:highlight w:val="yellow"/>
        </w:rPr>
        <w:t>日下午17:00时</w:t>
      </w:r>
      <w:r>
        <w:rPr>
          <w:rFonts w:hint="eastAsia" w:ascii="宋体" w:hAnsi="宋体"/>
          <w:sz w:val="24"/>
        </w:rPr>
        <w:t>。（投标人必须将疑问函（盖章）扫描后与该函的word文档再发送到指定的邮箱）</w:t>
      </w:r>
    </w:p>
    <w:p>
      <w:pPr>
        <w:numPr>
          <w:ilvl w:val="0"/>
          <w:numId w:val="5"/>
        </w:numPr>
        <w:spacing w:line="276" w:lineRule="auto"/>
        <w:rPr>
          <w:rFonts w:ascii="宋体" w:hAnsi="宋体"/>
          <w:b w:val="0"/>
          <w:bCs w:val="0"/>
          <w:sz w:val="24"/>
        </w:rPr>
      </w:pPr>
      <w:r>
        <w:rPr>
          <w:rFonts w:hint="eastAsia" w:ascii="宋体" w:hAnsi="宋体"/>
          <w:sz w:val="24"/>
        </w:rPr>
        <w:t>招标文件答疑、补遗、修改截止时间为</w:t>
      </w:r>
      <w:r>
        <w:rPr>
          <w:rFonts w:ascii="宋体" w:hAnsi="宋体"/>
          <w:b w:val="0"/>
          <w:bCs w:val="0"/>
          <w:sz w:val="24"/>
          <w:highlight w:val="yellow"/>
        </w:rPr>
        <w:t>2021</w:t>
      </w:r>
      <w:r>
        <w:rPr>
          <w:rFonts w:hint="eastAsia" w:ascii="宋体" w:hAnsi="宋体"/>
          <w:b w:val="0"/>
          <w:bCs w:val="0"/>
          <w:sz w:val="24"/>
          <w:highlight w:val="yellow"/>
        </w:rPr>
        <w:t>年7月</w:t>
      </w:r>
      <w:r>
        <w:rPr>
          <w:rFonts w:hint="eastAsia" w:ascii="宋体" w:hAnsi="宋体"/>
          <w:b w:val="0"/>
          <w:bCs w:val="0"/>
          <w:sz w:val="24"/>
          <w:highlight w:val="yellow"/>
          <w:lang w:val="en-US" w:eastAsia="zh-CN"/>
        </w:rPr>
        <w:t>21</w:t>
      </w:r>
      <w:r>
        <w:rPr>
          <w:rFonts w:hint="eastAsia" w:ascii="宋体" w:hAnsi="宋体"/>
          <w:b w:val="0"/>
          <w:bCs w:val="0"/>
          <w:sz w:val="24"/>
          <w:highlight w:val="yellow"/>
        </w:rPr>
        <w:t>日下午17:00时</w:t>
      </w:r>
      <w:r>
        <w:rPr>
          <w:rFonts w:hint="eastAsia" w:ascii="宋体" w:hAnsi="宋体"/>
          <w:b w:val="0"/>
          <w:bCs w:val="0"/>
          <w:sz w:val="24"/>
        </w:rPr>
        <w:t>。</w:t>
      </w:r>
    </w:p>
    <w:p>
      <w:pPr>
        <w:numPr>
          <w:ilvl w:val="0"/>
          <w:numId w:val="5"/>
        </w:numPr>
        <w:spacing w:line="276" w:lineRule="auto"/>
        <w:rPr>
          <w:rFonts w:ascii="宋体" w:hAnsi="宋体"/>
          <w:b w:val="0"/>
          <w:bCs w:val="0"/>
          <w:sz w:val="24"/>
        </w:rPr>
      </w:pPr>
      <w:r>
        <w:rPr>
          <w:rFonts w:hint="eastAsia" w:ascii="宋体" w:hAnsi="宋体"/>
          <w:b w:val="0"/>
          <w:bCs w:val="0"/>
          <w:sz w:val="24"/>
        </w:rPr>
        <w:t>投标截止时间：</w:t>
      </w:r>
      <w:r>
        <w:rPr>
          <w:rFonts w:hint="eastAsia" w:ascii="宋体" w:hAnsi="宋体"/>
          <w:b w:val="0"/>
          <w:bCs w:val="0"/>
          <w:sz w:val="24"/>
          <w:highlight w:val="yellow"/>
        </w:rPr>
        <w:t>20</w:t>
      </w:r>
      <w:r>
        <w:rPr>
          <w:rFonts w:ascii="宋体" w:hAnsi="宋体"/>
          <w:b w:val="0"/>
          <w:bCs w:val="0"/>
          <w:sz w:val="24"/>
          <w:highlight w:val="yellow"/>
        </w:rPr>
        <w:t>21</w:t>
      </w:r>
      <w:r>
        <w:rPr>
          <w:rFonts w:hint="eastAsia" w:ascii="宋体" w:hAnsi="宋体"/>
          <w:b w:val="0"/>
          <w:bCs w:val="0"/>
          <w:sz w:val="24"/>
          <w:highlight w:val="yellow"/>
        </w:rPr>
        <w:t>年7月</w:t>
      </w:r>
      <w:r>
        <w:rPr>
          <w:rFonts w:ascii="宋体" w:hAnsi="宋体"/>
          <w:b w:val="0"/>
          <w:bCs w:val="0"/>
          <w:sz w:val="24"/>
          <w:highlight w:val="yellow"/>
        </w:rPr>
        <w:t xml:space="preserve"> </w:t>
      </w:r>
      <w:r>
        <w:rPr>
          <w:rFonts w:hint="eastAsia" w:ascii="宋体" w:hAnsi="宋体"/>
          <w:b w:val="0"/>
          <w:bCs w:val="0"/>
          <w:sz w:val="24"/>
          <w:highlight w:val="yellow"/>
          <w:lang w:val="en-US" w:eastAsia="zh-CN"/>
        </w:rPr>
        <w:t>26</w:t>
      </w:r>
      <w:r>
        <w:rPr>
          <w:rFonts w:hint="eastAsia" w:ascii="宋体" w:hAnsi="宋体"/>
          <w:b w:val="0"/>
          <w:bCs w:val="0"/>
          <w:sz w:val="24"/>
          <w:highlight w:val="yellow"/>
        </w:rPr>
        <w:t>日1</w:t>
      </w:r>
      <w:r>
        <w:rPr>
          <w:rFonts w:hint="eastAsia" w:ascii="宋体" w:hAnsi="宋体"/>
          <w:b w:val="0"/>
          <w:bCs w:val="0"/>
          <w:sz w:val="24"/>
          <w:highlight w:val="yellow"/>
          <w:lang w:val="en-US" w:eastAsia="zh-CN"/>
        </w:rPr>
        <w:t>5</w:t>
      </w:r>
      <w:r>
        <w:rPr>
          <w:rFonts w:hint="eastAsia" w:ascii="宋体" w:hAnsi="宋体"/>
          <w:b w:val="0"/>
          <w:bCs w:val="0"/>
          <w:sz w:val="24"/>
          <w:highlight w:val="yellow"/>
        </w:rPr>
        <w:t>时30分整</w:t>
      </w:r>
      <w:r>
        <w:rPr>
          <w:rFonts w:ascii="宋体" w:hAnsi="宋体"/>
          <w:b w:val="0"/>
          <w:bCs w:val="0"/>
          <w:sz w:val="24"/>
        </w:rPr>
        <w:t>（北京时间）；所有投标书应于投标截止时间之前递交到</w:t>
      </w:r>
      <w:r>
        <w:rPr>
          <w:rFonts w:hint="eastAsia" w:ascii="宋体" w:hAnsi="宋体" w:cs="Arial"/>
          <w:b w:val="0"/>
          <w:bCs w:val="0"/>
          <w:sz w:val="24"/>
        </w:rPr>
        <w:t>深圳市龙华区环观南路高新技术产业开发区英飞拓园区5</w:t>
      </w:r>
      <w:r>
        <w:rPr>
          <w:rFonts w:hint="eastAsia" w:ascii="宋体" w:hAnsi="宋体"/>
          <w:b w:val="0"/>
          <w:bCs w:val="0"/>
          <w:sz w:val="24"/>
        </w:rPr>
        <w:t>楼</w:t>
      </w:r>
      <w:r>
        <w:rPr>
          <w:rFonts w:ascii="宋体" w:hAnsi="宋体"/>
          <w:b w:val="0"/>
          <w:bCs w:val="0"/>
          <w:sz w:val="24"/>
        </w:rPr>
        <w:t>1</w:t>
      </w:r>
      <w:r>
        <w:rPr>
          <w:rFonts w:hint="eastAsia" w:ascii="宋体" w:hAnsi="宋体"/>
          <w:b w:val="0"/>
          <w:bCs w:val="0"/>
          <w:sz w:val="24"/>
        </w:rPr>
        <w:t>1号会议室。</w:t>
      </w:r>
    </w:p>
    <w:p>
      <w:pPr>
        <w:numPr>
          <w:ilvl w:val="0"/>
          <w:numId w:val="5"/>
        </w:numPr>
        <w:spacing w:line="276" w:lineRule="auto"/>
        <w:rPr>
          <w:rFonts w:ascii="宋体" w:hAnsi="宋体"/>
          <w:sz w:val="24"/>
        </w:rPr>
      </w:pPr>
      <w:r>
        <w:rPr>
          <w:rFonts w:hint="eastAsia" w:ascii="宋体" w:hAnsi="宋体"/>
          <w:b w:val="0"/>
          <w:bCs w:val="0"/>
          <w:sz w:val="24"/>
        </w:rPr>
        <w:t>开标时间</w:t>
      </w:r>
      <w:r>
        <w:rPr>
          <w:rFonts w:ascii="宋体" w:hAnsi="宋体"/>
          <w:b w:val="0"/>
          <w:bCs w:val="0"/>
          <w:sz w:val="24"/>
        </w:rPr>
        <w:t>:</w:t>
      </w:r>
      <w:r>
        <w:rPr>
          <w:rFonts w:hint="eastAsia" w:ascii="宋体" w:hAnsi="宋体"/>
          <w:b w:val="0"/>
          <w:bCs w:val="0"/>
          <w:sz w:val="24"/>
        </w:rPr>
        <w:t xml:space="preserve"> </w:t>
      </w:r>
      <w:r>
        <w:rPr>
          <w:rFonts w:hint="eastAsia" w:ascii="宋体" w:hAnsi="宋体"/>
          <w:b w:val="0"/>
          <w:bCs w:val="0"/>
          <w:sz w:val="24"/>
          <w:highlight w:val="yellow"/>
        </w:rPr>
        <w:t>20</w:t>
      </w:r>
      <w:r>
        <w:rPr>
          <w:rFonts w:ascii="宋体" w:hAnsi="宋体"/>
          <w:b w:val="0"/>
          <w:bCs w:val="0"/>
          <w:sz w:val="24"/>
          <w:highlight w:val="yellow"/>
        </w:rPr>
        <w:t>21</w:t>
      </w:r>
      <w:r>
        <w:rPr>
          <w:rFonts w:hint="eastAsia" w:ascii="宋体" w:hAnsi="宋体"/>
          <w:b w:val="0"/>
          <w:bCs w:val="0"/>
          <w:sz w:val="24"/>
          <w:highlight w:val="yellow"/>
        </w:rPr>
        <w:t>年7月</w:t>
      </w:r>
      <w:r>
        <w:rPr>
          <w:rFonts w:ascii="宋体" w:hAnsi="宋体"/>
          <w:b w:val="0"/>
          <w:bCs w:val="0"/>
          <w:sz w:val="24"/>
          <w:highlight w:val="yellow"/>
        </w:rPr>
        <w:t xml:space="preserve"> </w:t>
      </w:r>
      <w:r>
        <w:rPr>
          <w:rFonts w:hint="eastAsia" w:ascii="宋体" w:hAnsi="宋体"/>
          <w:b w:val="0"/>
          <w:bCs w:val="0"/>
          <w:sz w:val="24"/>
          <w:highlight w:val="yellow"/>
          <w:lang w:val="en-US" w:eastAsia="zh-CN"/>
        </w:rPr>
        <w:t>26</w:t>
      </w:r>
      <w:r>
        <w:rPr>
          <w:rFonts w:hint="eastAsia" w:ascii="宋体" w:hAnsi="宋体"/>
          <w:b w:val="0"/>
          <w:bCs w:val="0"/>
          <w:sz w:val="24"/>
          <w:highlight w:val="yellow"/>
        </w:rPr>
        <w:t>日1</w:t>
      </w:r>
      <w:r>
        <w:rPr>
          <w:rFonts w:hint="eastAsia" w:ascii="宋体" w:hAnsi="宋体"/>
          <w:b w:val="0"/>
          <w:bCs w:val="0"/>
          <w:sz w:val="24"/>
          <w:highlight w:val="yellow"/>
          <w:lang w:val="en-US" w:eastAsia="zh-CN"/>
        </w:rPr>
        <w:t>5</w:t>
      </w:r>
      <w:r>
        <w:rPr>
          <w:rFonts w:hint="eastAsia" w:ascii="宋体" w:hAnsi="宋体"/>
          <w:b w:val="0"/>
          <w:bCs w:val="0"/>
          <w:sz w:val="24"/>
          <w:highlight w:val="yellow"/>
        </w:rPr>
        <w:t>时30分整</w:t>
      </w:r>
      <w:r>
        <w:rPr>
          <w:rFonts w:hint="eastAsia" w:ascii="宋体" w:hAnsi="宋体"/>
          <w:sz w:val="24"/>
        </w:rPr>
        <w:t>（北京时间）；届时请参加投标的代表出席开标仪式。</w:t>
      </w:r>
    </w:p>
    <w:p>
      <w:pPr>
        <w:numPr>
          <w:ilvl w:val="0"/>
          <w:numId w:val="5"/>
        </w:numPr>
        <w:spacing w:line="276" w:lineRule="auto"/>
        <w:rPr>
          <w:rFonts w:ascii="宋体" w:hAnsi="宋体"/>
          <w:sz w:val="24"/>
        </w:rPr>
      </w:pPr>
      <w:r>
        <w:rPr>
          <w:rFonts w:hint="eastAsia" w:ascii="宋体" w:hAnsi="宋体"/>
          <w:sz w:val="24"/>
        </w:rPr>
        <w:t>开标地点：</w:t>
      </w:r>
      <w:r>
        <w:rPr>
          <w:rFonts w:hint="eastAsia" w:ascii="宋体" w:hAnsi="宋体" w:cs="Arial"/>
          <w:sz w:val="24"/>
        </w:rPr>
        <w:t>深圳市龙华区环观南路高新技术产业开发区英飞拓园区5</w:t>
      </w:r>
      <w:r>
        <w:rPr>
          <w:rFonts w:hint="eastAsia" w:ascii="宋体" w:hAnsi="宋体"/>
          <w:sz w:val="24"/>
        </w:rPr>
        <w:t>楼</w:t>
      </w:r>
      <w:r>
        <w:rPr>
          <w:rFonts w:ascii="宋体" w:hAnsi="宋体"/>
          <w:sz w:val="24"/>
        </w:rPr>
        <w:t>1</w:t>
      </w:r>
      <w:r>
        <w:rPr>
          <w:rFonts w:hint="eastAsia" w:ascii="宋体" w:hAnsi="宋体"/>
          <w:sz w:val="24"/>
        </w:rPr>
        <w:t>1号会议室。</w:t>
      </w:r>
    </w:p>
    <w:p>
      <w:pPr>
        <w:numPr>
          <w:ilvl w:val="0"/>
          <w:numId w:val="5"/>
        </w:numPr>
        <w:spacing w:line="276" w:lineRule="auto"/>
        <w:rPr>
          <w:rFonts w:ascii="宋体" w:hAnsi="宋体"/>
          <w:sz w:val="24"/>
        </w:rPr>
      </w:pPr>
      <w:r>
        <w:rPr>
          <w:rFonts w:hint="eastAsia" w:ascii="宋体" w:hAnsi="宋体"/>
          <w:sz w:val="24"/>
        </w:rPr>
        <w:t>联系方式</w:t>
      </w:r>
    </w:p>
    <w:p>
      <w:pPr>
        <w:spacing w:line="276" w:lineRule="auto"/>
        <w:ind w:left="420" w:firstLine="482" w:firstLineChars="200"/>
        <w:rPr>
          <w:rFonts w:ascii="宋体" w:hAnsi="宋体" w:cs="Arial"/>
          <w:b/>
          <w:kern w:val="0"/>
          <w:sz w:val="24"/>
          <w:u w:val="single"/>
        </w:rPr>
      </w:pPr>
    </w:p>
    <w:p>
      <w:pPr>
        <w:spacing w:line="276" w:lineRule="auto"/>
        <w:ind w:left="720"/>
        <w:rPr>
          <w:rFonts w:ascii="宋体" w:hAnsi="宋体"/>
          <w:sz w:val="24"/>
        </w:rPr>
      </w:pPr>
      <w:r>
        <w:rPr>
          <w:rFonts w:hint="eastAsia" w:ascii="宋体" w:hAnsi="宋体"/>
          <w:sz w:val="24"/>
        </w:rPr>
        <w:t>招标人：深圳英飞拓智园科技有限公司</w:t>
      </w:r>
    </w:p>
    <w:p>
      <w:pPr>
        <w:spacing w:line="276" w:lineRule="auto"/>
        <w:ind w:left="720"/>
        <w:rPr>
          <w:rFonts w:ascii="宋体" w:hAnsi="宋体"/>
          <w:sz w:val="24"/>
        </w:rPr>
      </w:pPr>
      <w:r>
        <w:rPr>
          <w:rFonts w:hint="eastAsia" w:ascii="宋体" w:hAnsi="宋体"/>
          <w:sz w:val="24"/>
        </w:rPr>
        <w:t>开户行：招商银行股份有限公司深圳莲花支行</w:t>
      </w:r>
    </w:p>
    <w:p>
      <w:pPr>
        <w:spacing w:line="276" w:lineRule="auto"/>
        <w:ind w:left="720"/>
        <w:rPr>
          <w:rFonts w:ascii="宋体" w:hAnsi="宋体"/>
          <w:sz w:val="24"/>
          <w:u w:val="single"/>
        </w:rPr>
      </w:pPr>
      <w:r>
        <w:rPr>
          <w:rFonts w:hint="eastAsia" w:ascii="宋体" w:hAnsi="宋体"/>
          <w:sz w:val="24"/>
        </w:rPr>
        <w:t>账  号：755952559310902</w:t>
      </w:r>
    </w:p>
    <w:p>
      <w:pPr>
        <w:spacing w:line="276" w:lineRule="auto"/>
        <w:ind w:left="720"/>
        <w:rPr>
          <w:rFonts w:ascii="宋体" w:hAnsi="宋体"/>
          <w:sz w:val="24"/>
        </w:rPr>
      </w:pPr>
      <w:r>
        <w:rPr>
          <w:rFonts w:hint="eastAsia" w:ascii="宋体" w:hAnsi="宋体"/>
          <w:sz w:val="24"/>
        </w:rPr>
        <w:t>详细地址：</w:t>
      </w:r>
      <w:r>
        <w:rPr>
          <w:rFonts w:hint="eastAsia" w:ascii="宋体" w:hAnsi="宋体" w:cs="Arial"/>
          <w:sz w:val="24"/>
        </w:rPr>
        <w:t>深圳市龙华区环观南路高新技术产业开发区英飞拓园区</w:t>
      </w:r>
    </w:p>
    <w:p>
      <w:pPr>
        <w:spacing w:line="276" w:lineRule="auto"/>
        <w:ind w:left="720"/>
        <w:rPr>
          <w:rFonts w:hint="default" w:ascii="宋体" w:hAnsi="宋体" w:eastAsia="宋体"/>
          <w:sz w:val="24"/>
          <w:lang w:val="en-US" w:eastAsia="zh-CN"/>
        </w:rPr>
      </w:pPr>
      <w:r>
        <w:rPr>
          <w:rFonts w:hint="eastAsia" w:ascii="宋体" w:hAnsi="宋体"/>
          <w:sz w:val="24"/>
        </w:rPr>
        <w:t>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人：</w:t>
      </w:r>
      <w:r>
        <w:rPr>
          <w:rFonts w:hint="eastAsia" w:ascii="宋体" w:hAnsi="宋体"/>
          <w:sz w:val="24"/>
          <w:lang w:val="en-US" w:eastAsia="zh-CN"/>
        </w:rPr>
        <w:t>吴德俊</w:t>
      </w:r>
    </w:p>
    <w:p>
      <w:pPr>
        <w:spacing w:line="276" w:lineRule="auto"/>
        <w:ind w:left="720"/>
        <w:rPr>
          <w:rFonts w:hint="eastAsia" w:ascii="宋体" w:hAnsi="宋体"/>
          <w:sz w:val="24"/>
          <w:lang w:val="en-US" w:eastAsia="zh-CN"/>
        </w:rPr>
      </w:pPr>
      <w:r>
        <w:rPr>
          <w:rFonts w:hint="eastAsia" w:ascii="宋体" w:hAnsi="宋体"/>
          <w:sz w:val="24"/>
        </w:rPr>
        <w:t>电</w:t>
      </w:r>
      <w:r>
        <w:rPr>
          <w:rFonts w:ascii="宋体" w:hAnsi="宋体"/>
          <w:sz w:val="24"/>
        </w:rPr>
        <w:t xml:space="preserve">    </w:t>
      </w:r>
      <w:r>
        <w:rPr>
          <w:rFonts w:hint="eastAsia" w:ascii="宋体" w:hAnsi="宋体"/>
          <w:sz w:val="24"/>
        </w:rPr>
        <w:t>话：</w:t>
      </w:r>
      <w:r>
        <w:rPr>
          <w:rFonts w:hint="eastAsia" w:ascii="宋体" w:hAnsi="宋体"/>
          <w:sz w:val="24"/>
          <w:lang w:val="en-US" w:eastAsia="zh-CN"/>
        </w:rPr>
        <w:t>15099906853</w:t>
      </w:r>
    </w:p>
    <w:p>
      <w:pPr>
        <w:spacing w:line="276" w:lineRule="auto"/>
        <w:ind w:left="720"/>
        <w:rPr>
          <w:rFonts w:ascii="宋体" w:hAnsi="宋体" w:cs="仿宋"/>
          <w:kern w:val="0"/>
          <w:sz w:val="24"/>
        </w:rPr>
      </w:pPr>
      <w:r>
        <w:rPr>
          <w:rFonts w:hint="eastAsia" w:ascii="宋体" w:hAnsi="宋体"/>
          <w:sz w:val="24"/>
        </w:rPr>
        <w:t>邮    箱：dejun-wu@infinova.com.cn</w:t>
      </w:r>
    </w:p>
    <w:p>
      <w:pPr>
        <w:spacing w:line="276" w:lineRule="auto"/>
        <w:ind w:left="720"/>
        <w:rPr>
          <w:rFonts w:ascii="宋体" w:hAnsi="宋体"/>
          <w:sz w:val="24"/>
        </w:rPr>
      </w:pPr>
    </w:p>
    <w:p>
      <w:pPr>
        <w:spacing w:line="276" w:lineRule="auto"/>
        <w:ind w:left="720"/>
        <w:rPr>
          <w:rFonts w:ascii="宋体" w:hAnsi="宋体"/>
          <w:sz w:val="24"/>
        </w:rPr>
      </w:pPr>
    </w:p>
    <w:p>
      <w:pPr>
        <w:spacing w:line="276" w:lineRule="auto"/>
        <w:ind w:left="720"/>
        <w:rPr>
          <w:rFonts w:ascii="宋体" w:hAnsi="宋体"/>
          <w:sz w:val="24"/>
        </w:rPr>
      </w:pPr>
      <w:r>
        <w:rPr>
          <w:rFonts w:hint="eastAsia" w:ascii="宋体" w:hAnsi="宋体"/>
          <w:sz w:val="24"/>
        </w:rPr>
        <w:t> </w:t>
      </w:r>
    </w:p>
    <w:p>
      <w:pPr>
        <w:spacing w:line="276" w:lineRule="auto"/>
        <w:ind w:left="720"/>
        <w:rPr>
          <w:rFonts w:ascii="宋体" w:hAnsi="宋体"/>
          <w:sz w:val="24"/>
        </w:rPr>
      </w:pPr>
    </w:p>
    <w:p>
      <w:pPr>
        <w:spacing w:before="120" w:line="276" w:lineRule="auto"/>
        <w:jc w:val="right"/>
        <w:rPr>
          <w:rFonts w:ascii="宋体" w:hAnsi="宋体"/>
          <w:sz w:val="24"/>
        </w:rPr>
      </w:pPr>
      <w:r>
        <w:rPr>
          <w:rFonts w:hint="eastAsia" w:ascii="宋体" w:hAnsi="宋体"/>
          <w:sz w:val="24"/>
        </w:rPr>
        <w:t>深圳英飞拓智园科技有限公司</w:t>
      </w:r>
    </w:p>
    <w:p>
      <w:pPr>
        <w:spacing w:before="120" w:line="276" w:lineRule="auto"/>
        <w:jc w:val="right"/>
        <w:rPr>
          <w:rFonts w:ascii="宋体" w:hAnsi="宋体"/>
          <w:sz w:val="24"/>
        </w:rPr>
      </w:pPr>
      <w:r>
        <w:rPr>
          <w:rFonts w:hint="eastAsia" w:ascii="宋体" w:hAnsi="宋体"/>
          <w:sz w:val="24"/>
          <w:highlight w:val="yellow"/>
        </w:rPr>
        <w:t>2</w:t>
      </w:r>
      <w:r>
        <w:rPr>
          <w:rFonts w:ascii="宋体" w:hAnsi="宋体"/>
          <w:sz w:val="24"/>
          <w:highlight w:val="yellow"/>
        </w:rPr>
        <w:t>021</w:t>
      </w:r>
      <w:r>
        <w:rPr>
          <w:rFonts w:hint="eastAsia" w:ascii="宋体" w:hAnsi="宋体"/>
          <w:sz w:val="24"/>
          <w:highlight w:val="yellow"/>
        </w:rPr>
        <w:t>年</w:t>
      </w:r>
      <w:r>
        <w:rPr>
          <w:rFonts w:hint="eastAsia" w:ascii="宋体" w:hAnsi="宋体"/>
          <w:sz w:val="24"/>
          <w:highlight w:val="yellow"/>
          <w:lang w:val="en-US" w:eastAsia="zh-CN"/>
        </w:rPr>
        <w:t>7</w:t>
      </w:r>
      <w:r>
        <w:rPr>
          <w:rFonts w:hint="eastAsia" w:ascii="宋体" w:hAnsi="宋体"/>
          <w:sz w:val="24"/>
          <w:highlight w:val="yellow"/>
        </w:rPr>
        <w:t>月</w:t>
      </w:r>
      <w:r>
        <w:rPr>
          <w:rFonts w:hint="eastAsia" w:ascii="宋体" w:hAnsi="宋体"/>
          <w:sz w:val="24"/>
          <w:highlight w:val="yellow"/>
          <w:lang w:val="en-US" w:eastAsia="zh-CN"/>
        </w:rPr>
        <w:t>19</w:t>
      </w:r>
      <w:r>
        <w:rPr>
          <w:rFonts w:hint="eastAsia" w:ascii="宋体" w:hAnsi="宋体"/>
          <w:sz w:val="24"/>
          <w:highlight w:val="yellow"/>
        </w:rPr>
        <w:t>日</w:t>
      </w:r>
    </w:p>
    <w:p>
      <w:pPr>
        <w:pStyle w:val="3"/>
      </w:pPr>
      <w:bookmarkStart w:id="3" w:name="_Toc1252"/>
      <w:r>
        <w:rPr>
          <w:rFonts w:hint="eastAsia"/>
        </w:rPr>
        <w:t>招标项目要求</w:t>
      </w:r>
      <w:bookmarkEnd w:id="3"/>
    </w:p>
    <w:p>
      <w:pPr>
        <w:pStyle w:val="4"/>
        <w:rPr>
          <w:sz w:val="24"/>
          <w:szCs w:val="24"/>
        </w:rPr>
      </w:pPr>
      <w:bookmarkStart w:id="4" w:name="_Toc28800"/>
      <w:r>
        <w:rPr>
          <w:rFonts w:hint="eastAsia"/>
          <w:sz w:val="24"/>
          <w:szCs w:val="24"/>
        </w:rPr>
        <w:t>项目概述</w:t>
      </w:r>
      <w:bookmarkEnd w:id="4"/>
    </w:p>
    <w:p>
      <w:pPr>
        <w:pStyle w:val="49"/>
        <w:spacing w:line="360" w:lineRule="auto"/>
        <w:ind w:firstLine="480"/>
        <w:rPr>
          <w:rFonts w:ascii="宋体" w:hAnsi="宋体" w:eastAsia="宋体" w:cs="宋体"/>
          <w:bCs/>
          <w:sz w:val="24"/>
        </w:rPr>
      </w:pPr>
      <w:r>
        <w:rPr>
          <w:rFonts w:hint="eastAsia" w:ascii="宋体" w:hAnsi="宋体" w:eastAsia="宋体" w:cs="宋体"/>
          <w:bCs/>
          <w:sz w:val="24"/>
        </w:rPr>
        <w:t>通过环保产业园前期规划成果和基础资料，对项目本体研究分析，进行关联单位访谈调研，对标国内外环境园区的智慧园区建设成效，分析智慧城市、智慧园区建设政策和标准等方式，同时辅以行业经验沉淀、行业技术标准、前沿技术理念引用，确定生态环境科技产业园智慧园区规划的总体目标、关键环节、指标体系和重点任务，编制智慧生态园区总体架构规划，指导生态环境科技产业园智慧园区规划建设工作，建设完善的智慧生态园区体系，全面建成智能、绿色、高效的生态环境产业园，实现深圳市建设无废城市的目标。</w:t>
      </w:r>
    </w:p>
    <w:p>
      <w:pPr>
        <w:pStyle w:val="4"/>
        <w:rPr>
          <w:sz w:val="24"/>
          <w:szCs w:val="24"/>
        </w:rPr>
      </w:pPr>
      <w:r>
        <w:rPr>
          <w:rFonts w:hint="eastAsia"/>
          <w:sz w:val="24"/>
          <w:szCs w:val="24"/>
          <w:lang w:val="en-US" w:eastAsia="zh-CN"/>
        </w:rPr>
        <w:t xml:space="preserve"> </w:t>
      </w:r>
      <w:bookmarkStart w:id="5" w:name="_Toc13967"/>
      <w:r>
        <w:rPr>
          <w:rFonts w:hint="eastAsia"/>
          <w:sz w:val="24"/>
          <w:szCs w:val="24"/>
        </w:rPr>
        <w:t>服务内容</w:t>
      </w:r>
      <w:bookmarkEnd w:id="5"/>
    </w:p>
    <w:p>
      <w:pPr>
        <w:pStyle w:val="5"/>
        <w:numPr>
          <w:ilvl w:val="2"/>
          <w:numId w:val="0"/>
        </w:numPr>
        <w:rPr>
          <w:rFonts w:ascii="宋体" w:hAnsi="宋体" w:cs="宋体"/>
          <w:b w:val="0"/>
          <w:bCs/>
        </w:rPr>
      </w:pPr>
      <w:bookmarkStart w:id="6" w:name="_Toc22952"/>
      <w:r>
        <w:rPr>
          <w:rFonts w:hint="eastAsia" w:ascii="宋体" w:hAnsi="宋体" w:cs="宋体"/>
          <w:b w:val="0"/>
          <w:bCs/>
        </w:rPr>
        <w:t>2.2.1规划及相关资料的解读及报告</w:t>
      </w:r>
      <w:bookmarkEnd w:id="6"/>
    </w:p>
    <w:p>
      <w:pPr>
        <w:pStyle w:val="5"/>
        <w:numPr>
          <w:ilvl w:val="2"/>
          <w:numId w:val="0"/>
        </w:numPr>
        <w:rPr>
          <w:rFonts w:ascii="宋体" w:hAnsi="宋体" w:cs="宋体"/>
          <w:b w:val="0"/>
          <w:bCs/>
          <w:szCs w:val="24"/>
        </w:rPr>
      </w:pPr>
      <w:bookmarkStart w:id="7" w:name="_Toc8379"/>
      <w:r>
        <w:rPr>
          <w:rFonts w:hint="eastAsia" w:ascii="宋体" w:hAnsi="宋体" w:cs="宋体"/>
          <w:b w:val="0"/>
          <w:bCs/>
        </w:rPr>
        <w:t>2.2.2</w:t>
      </w:r>
      <w:r>
        <w:rPr>
          <w:rFonts w:hint="eastAsia" w:ascii="宋体" w:hAnsi="宋体" w:cs="宋体"/>
          <w:b w:val="0"/>
          <w:bCs/>
          <w:szCs w:val="24"/>
        </w:rPr>
        <w:t>相关部门/单位调研及报告</w:t>
      </w:r>
      <w:bookmarkEnd w:id="7"/>
    </w:p>
    <w:p>
      <w:pPr>
        <w:pStyle w:val="5"/>
        <w:numPr>
          <w:ilvl w:val="2"/>
          <w:numId w:val="0"/>
        </w:numPr>
        <w:rPr>
          <w:rFonts w:ascii="宋体" w:hAnsi="宋体" w:cs="宋体"/>
          <w:b w:val="0"/>
          <w:bCs/>
          <w:szCs w:val="24"/>
        </w:rPr>
      </w:pPr>
      <w:bookmarkStart w:id="8" w:name="_Toc18908"/>
      <w:r>
        <w:rPr>
          <w:rFonts w:hint="eastAsia" w:ascii="宋体" w:hAnsi="宋体" w:cs="宋体"/>
          <w:b w:val="0"/>
          <w:bCs/>
          <w:szCs w:val="24"/>
        </w:rPr>
        <w:t>2.2.3</w:t>
      </w:r>
      <w:r>
        <w:rPr>
          <w:rFonts w:hint="eastAsia" w:ascii="宋体" w:hAnsi="宋体" w:cs="宋体"/>
          <w:b w:val="0"/>
          <w:bCs/>
          <w:szCs w:val="24"/>
          <w:lang w:val="en-US" w:eastAsia="zh-CN"/>
        </w:rPr>
        <w:t>对标</w:t>
      </w:r>
      <w:r>
        <w:rPr>
          <w:rFonts w:hint="eastAsia" w:ascii="宋体" w:hAnsi="宋体" w:cs="宋体"/>
          <w:b w:val="0"/>
          <w:bCs/>
          <w:szCs w:val="24"/>
        </w:rPr>
        <w:t>案例调研及报告</w:t>
      </w:r>
      <w:bookmarkEnd w:id="8"/>
    </w:p>
    <w:p>
      <w:pPr>
        <w:pStyle w:val="5"/>
        <w:numPr>
          <w:ilvl w:val="2"/>
          <w:numId w:val="0"/>
        </w:numPr>
        <w:rPr>
          <w:rFonts w:ascii="宋体" w:hAnsi="宋体" w:cs="宋体"/>
          <w:b w:val="0"/>
          <w:bCs/>
          <w:szCs w:val="24"/>
        </w:rPr>
      </w:pPr>
      <w:bookmarkStart w:id="9" w:name="_Toc25887"/>
      <w:r>
        <w:rPr>
          <w:rFonts w:hint="eastAsia" w:ascii="宋体" w:hAnsi="宋体" w:cs="宋体"/>
          <w:b w:val="0"/>
          <w:bCs/>
          <w:szCs w:val="24"/>
        </w:rPr>
        <w:t>2.2.4整体调研报告</w:t>
      </w:r>
      <w:bookmarkEnd w:id="9"/>
    </w:p>
    <w:p>
      <w:pPr>
        <w:pStyle w:val="5"/>
        <w:numPr>
          <w:ilvl w:val="2"/>
          <w:numId w:val="0"/>
        </w:numPr>
        <w:rPr>
          <w:rFonts w:hint="default" w:eastAsia="宋体"/>
          <w:b w:val="0"/>
          <w:bCs/>
          <w:lang w:val="en-US" w:eastAsia="zh-CN"/>
        </w:rPr>
      </w:pPr>
      <w:bookmarkStart w:id="10" w:name="_Toc23125"/>
      <w:r>
        <w:rPr>
          <w:rFonts w:hint="eastAsia" w:ascii="宋体" w:hAnsi="宋体" w:cs="宋体"/>
          <w:b w:val="0"/>
          <w:bCs/>
          <w:szCs w:val="24"/>
        </w:rPr>
        <w:t>2.2.5典型场景规划：生态/环保相关智慧场景规划</w:t>
      </w:r>
      <w:r>
        <w:rPr>
          <w:rFonts w:hint="eastAsia" w:ascii="宋体" w:hAnsi="宋体" w:cs="宋体"/>
          <w:b w:val="0"/>
          <w:bCs/>
          <w:szCs w:val="24"/>
          <w:lang w:val="en-US" w:eastAsia="zh-CN"/>
        </w:rPr>
        <w:t>报告</w:t>
      </w:r>
      <w:bookmarkEnd w:id="10"/>
    </w:p>
    <w:p>
      <w:pPr>
        <w:pStyle w:val="5"/>
        <w:numPr>
          <w:ilvl w:val="2"/>
          <w:numId w:val="0"/>
        </w:numPr>
        <w:rPr>
          <w:rFonts w:ascii="宋体" w:hAnsi="宋体" w:cs="宋体"/>
          <w:b w:val="0"/>
          <w:bCs/>
          <w:szCs w:val="24"/>
        </w:rPr>
      </w:pPr>
      <w:bookmarkStart w:id="11" w:name="_Toc17640"/>
      <w:r>
        <w:rPr>
          <w:rFonts w:hint="eastAsia" w:ascii="宋体" w:hAnsi="宋体" w:cs="宋体"/>
          <w:b w:val="0"/>
          <w:bCs/>
        </w:rPr>
        <w:t>2.2.6</w:t>
      </w:r>
      <w:r>
        <w:rPr>
          <w:rFonts w:hint="eastAsia" w:ascii="宋体" w:hAnsi="宋体" w:cs="宋体"/>
          <w:b w:val="0"/>
          <w:bCs/>
          <w:szCs w:val="24"/>
        </w:rPr>
        <w:t>协助蓝图规划编制及汇报</w:t>
      </w:r>
      <w:bookmarkEnd w:id="11"/>
    </w:p>
    <w:p>
      <w:pPr>
        <w:pStyle w:val="5"/>
        <w:numPr>
          <w:ilvl w:val="2"/>
          <w:numId w:val="0"/>
        </w:numPr>
        <w:rPr>
          <w:rFonts w:hint="default" w:ascii="宋体" w:hAnsi="宋体" w:eastAsia="宋体" w:cs="宋体"/>
          <w:b w:val="0"/>
          <w:bCs/>
          <w:szCs w:val="24"/>
          <w:lang w:val="en-US" w:eastAsia="zh-CN"/>
        </w:rPr>
      </w:pPr>
      <w:bookmarkStart w:id="12" w:name="_Toc2299"/>
      <w:r>
        <w:rPr>
          <w:rFonts w:hint="eastAsia" w:ascii="宋体" w:hAnsi="宋体" w:cs="宋体"/>
          <w:b w:val="0"/>
          <w:bCs/>
          <w:szCs w:val="24"/>
        </w:rPr>
        <w:t>2.2.7智能化全流程运营管理规划专项</w:t>
      </w:r>
      <w:r>
        <w:rPr>
          <w:rFonts w:hint="eastAsia" w:ascii="宋体" w:hAnsi="宋体" w:cs="宋体"/>
          <w:b w:val="0"/>
          <w:bCs/>
          <w:szCs w:val="24"/>
          <w:lang w:val="en-US" w:eastAsia="zh-CN"/>
        </w:rPr>
        <w:t>报告</w:t>
      </w:r>
      <w:bookmarkEnd w:id="12"/>
    </w:p>
    <w:p>
      <w:pPr>
        <w:pStyle w:val="5"/>
        <w:numPr>
          <w:ilvl w:val="2"/>
          <w:numId w:val="0"/>
        </w:numPr>
        <w:rPr>
          <w:rFonts w:hint="eastAsia" w:ascii="宋体" w:hAnsi="宋体" w:cs="宋体"/>
          <w:b w:val="0"/>
          <w:bCs/>
          <w:szCs w:val="24"/>
        </w:rPr>
      </w:pPr>
      <w:bookmarkStart w:id="13" w:name="_Toc18952"/>
      <w:r>
        <w:rPr>
          <w:rFonts w:hint="eastAsia" w:ascii="宋体" w:hAnsi="宋体" w:cs="宋体"/>
          <w:b w:val="0"/>
          <w:bCs/>
          <w:szCs w:val="24"/>
        </w:rPr>
        <w:t>2.2.8环保产业相关应用/平台的实施规划建议和费用分析</w:t>
      </w:r>
      <w:bookmarkEnd w:id="13"/>
    </w:p>
    <w:p>
      <w:pPr>
        <w:pStyle w:val="5"/>
        <w:numPr>
          <w:ilvl w:val="2"/>
          <w:numId w:val="0"/>
        </w:numPr>
        <w:rPr>
          <w:rFonts w:hint="eastAsia" w:ascii="宋体" w:hAnsi="宋体" w:cs="宋体"/>
          <w:b w:val="0"/>
          <w:bCs/>
          <w:szCs w:val="24"/>
          <w:highlight w:val="none"/>
        </w:rPr>
      </w:pPr>
      <w:bookmarkStart w:id="14" w:name="_Toc21764"/>
      <w:r>
        <w:rPr>
          <w:rFonts w:hint="eastAsia" w:ascii="宋体" w:hAnsi="宋体" w:cs="宋体"/>
          <w:b w:val="0"/>
          <w:bCs/>
          <w:szCs w:val="24"/>
          <w:highlight w:val="none"/>
        </w:rPr>
        <w:t>2.2.</w:t>
      </w:r>
      <w:r>
        <w:rPr>
          <w:rFonts w:hint="eastAsia" w:ascii="宋体" w:hAnsi="宋体" w:cs="宋体"/>
          <w:b w:val="0"/>
          <w:bCs/>
          <w:szCs w:val="24"/>
          <w:highlight w:val="none"/>
          <w:lang w:val="en-US" w:eastAsia="zh-CN"/>
        </w:rPr>
        <w:t>9提供不少于三名生态环保行业专家顾问服务。</w:t>
      </w:r>
      <w:bookmarkEnd w:id="14"/>
    </w:p>
    <w:p>
      <w:pPr>
        <w:pStyle w:val="2"/>
        <w:rPr>
          <w:rFonts w:hint="eastAsia" w:eastAsia="宋体"/>
          <w:lang w:val="en-US" w:eastAsia="zh-CN"/>
        </w:rPr>
      </w:pPr>
    </w:p>
    <w:p>
      <w:pPr>
        <w:pStyle w:val="4"/>
        <w:numPr>
          <w:ilvl w:val="1"/>
          <w:numId w:val="0"/>
        </w:numPr>
        <w:rPr>
          <w:rFonts w:hint="eastAsia"/>
          <w:sz w:val="24"/>
          <w:szCs w:val="24"/>
          <w:highlight w:val="none"/>
          <w:lang w:val="en-US" w:eastAsia="zh-CN"/>
        </w:rPr>
      </w:pPr>
      <w:bookmarkStart w:id="15" w:name="_Toc10203"/>
      <w:r>
        <w:rPr>
          <w:rFonts w:hint="eastAsia"/>
          <w:sz w:val="24"/>
          <w:szCs w:val="24"/>
          <w:highlight w:val="none"/>
        </w:rPr>
        <w:t xml:space="preserve">2.3 </w:t>
      </w:r>
      <w:r>
        <w:rPr>
          <w:rFonts w:hint="eastAsia"/>
          <w:sz w:val="24"/>
          <w:szCs w:val="24"/>
          <w:highlight w:val="none"/>
          <w:lang w:val="en-US" w:eastAsia="zh-CN"/>
        </w:rPr>
        <w:t>*输出成果及要求</w:t>
      </w:r>
      <w:bookmarkEnd w:id="15"/>
    </w:p>
    <w:p>
      <w:pPr>
        <w:pStyle w:val="5"/>
        <w:numPr>
          <w:ilvl w:val="2"/>
          <w:numId w:val="0"/>
        </w:numPr>
        <w:rPr>
          <w:rFonts w:hint="default" w:ascii="宋体" w:hAnsi="宋体" w:eastAsia="宋体" w:cs="宋体"/>
          <w:b w:val="0"/>
          <w:bCs/>
          <w:szCs w:val="24"/>
          <w:lang w:val="en-US" w:eastAsia="zh-CN"/>
        </w:rPr>
      </w:pPr>
      <w:bookmarkStart w:id="16" w:name="_Toc31078"/>
      <w:r>
        <w:rPr>
          <w:rFonts w:hint="eastAsia" w:ascii="宋体" w:hAnsi="宋体" w:cs="宋体"/>
          <w:b w:val="0"/>
          <w:bCs/>
          <w:szCs w:val="24"/>
        </w:rPr>
        <w:t>2.</w:t>
      </w:r>
      <w:r>
        <w:rPr>
          <w:rFonts w:hint="eastAsia" w:ascii="宋体" w:hAnsi="宋体" w:cs="宋体"/>
          <w:b w:val="0"/>
          <w:bCs/>
          <w:szCs w:val="24"/>
          <w:lang w:val="en-US" w:eastAsia="zh-CN"/>
        </w:rPr>
        <w:t>3</w:t>
      </w:r>
      <w:r>
        <w:rPr>
          <w:rFonts w:hint="eastAsia" w:ascii="宋体" w:hAnsi="宋体" w:cs="宋体"/>
          <w:b w:val="0"/>
          <w:bCs/>
          <w:szCs w:val="24"/>
        </w:rPr>
        <w:t>.</w:t>
      </w:r>
      <w:r>
        <w:rPr>
          <w:rFonts w:hint="eastAsia" w:ascii="宋体" w:hAnsi="宋体" w:cs="宋体"/>
          <w:b w:val="0"/>
          <w:bCs/>
          <w:szCs w:val="24"/>
          <w:lang w:val="en-US" w:eastAsia="zh-CN"/>
        </w:rPr>
        <w:t>1各项服务工作内容最终以专项报告的形式输出成果；</w:t>
      </w:r>
      <w:bookmarkEnd w:id="16"/>
    </w:p>
    <w:p>
      <w:pPr>
        <w:pStyle w:val="5"/>
        <w:numPr>
          <w:ilvl w:val="2"/>
          <w:numId w:val="0"/>
        </w:numPr>
        <w:rPr>
          <w:rFonts w:hint="default" w:ascii="宋体" w:hAnsi="宋体" w:eastAsia="宋体" w:cs="宋体"/>
          <w:b w:val="0"/>
          <w:bCs/>
          <w:szCs w:val="24"/>
          <w:lang w:val="en-US" w:eastAsia="zh-CN"/>
        </w:rPr>
      </w:pPr>
      <w:bookmarkStart w:id="17" w:name="_Toc30276"/>
      <w:r>
        <w:rPr>
          <w:rFonts w:hint="eastAsia" w:ascii="宋体" w:hAnsi="宋体" w:cs="宋体"/>
          <w:b w:val="0"/>
          <w:bCs/>
          <w:szCs w:val="24"/>
        </w:rPr>
        <w:t>2.</w:t>
      </w:r>
      <w:r>
        <w:rPr>
          <w:rFonts w:hint="eastAsia" w:ascii="宋体" w:hAnsi="宋体" w:cs="宋体"/>
          <w:b w:val="0"/>
          <w:bCs/>
          <w:szCs w:val="24"/>
          <w:lang w:val="en-US" w:eastAsia="zh-CN"/>
        </w:rPr>
        <w:t>3</w:t>
      </w:r>
      <w:r>
        <w:rPr>
          <w:rFonts w:hint="eastAsia" w:ascii="宋体" w:hAnsi="宋体" w:cs="宋体"/>
          <w:b w:val="0"/>
          <w:bCs/>
          <w:szCs w:val="24"/>
        </w:rPr>
        <w:t>.</w:t>
      </w:r>
      <w:r>
        <w:rPr>
          <w:rFonts w:hint="eastAsia" w:ascii="宋体" w:hAnsi="宋体" w:cs="宋体"/>
          <w:b w:val="0"/>
          <w:bCs/>
          <w:szCs w:val="24"/>
          <w:lang w:val="en-US" w:eastAsia="zh-CN"/>
        </w:rPr>
        <w:t>2服务成果以最终满足甲方的项目验收为标准。</w:t>
      </w:r>
      <w:bookmarkEnd w:id="17"/>
    </w:p>
    <w:p/>
    <w:p>
      <w:pPr>
        <w:pStyle w:val="4"/>
        <w:numPr>
          <w:ilvl w:val="1"/>
          <w:numId w:val="0"/>
        </w:numPr>
        <w:rPr>
          <w:rFonts w:hint="eastAsia" w:eastAsia="宋体"/>
          <w:sz w:val="24"/>
          <w:szCs w:val="24"/>
          <w:lang w:eastAsia="zh-CN"/>
        </w:rPr>
      </w:pPr>
      <w:bookmarkStart w:id="18" w:name="_Toc31770"/>
      <w:r>
        <w:rPr>
          <w:rFonts w:hint="eastAsia"/>
          <w:sz w:val="24"/>
          <w:szCs w:val="24"/>
        </w:rPr>
        <w:t>2.4 *服务期限：自合同签订之日起12个月</w:t>
      </w:r>
      <w:r>
        <w:rPr>
          <w:rFonts w:hint="eastAsia"/>
          <w:sz w:val="24"/>
          <w:szCs w:val="24"/>
          <w:lang w:eastAsia="zh-CN"/>
        </w:rPr>
        <w:t>，</w:t>
      </w:r>
      <w:r>
        <w:rPr>
          <w:rFonts w:hint="eastAsia" w:ascii="宋体" w:hAnsi="宋体" w:cs="宋体"/>
          <w:color w:val="auto"/>
          <w:kern w:val="0"/>
          <w:sz w:val="24"/>
          <w:highlight w:val="none"/>
        </w:rPr>
        <w:t>因不可抗力或不可预估因素造成项目服务期顺延，以配合招标方最终完成</w:t>
      </w:r>
      <w:r>
        <w:rPr>
          <w:rFonts w:hint="eastAsia" w:ascii="宋体" w:hAnsi="宋体" w:cs="宋体"/>
          <w:color w:val="auto"/>
          <w:kern w:val="0"/>
          <w:sz w:val="24"/>
          <w:highlight w:val="none"/>
          <w:lang w:val="en-US" w:eastAsia="zh-CN"/>
        </w:rPr>
        <w:t>项目的</w:t>
      </w:r>
      <w:r>
        <w:rPr>
          <w:rFonts w:hint="eastAsia" w:ascii="宋体" w:hAnsi="宋体" w:cs="宋体"/>
          <w:color w:val="auto"/>
          <w:kern w:val="0"/>
          <w:sz w:val="24"/>
          <w:highlight w:val="none"/>
        </w:rPr>
        <w:t>交付时间为准。</w:t>
      </w:r>
      <w:bookmarkEnd w:id="18"/>
    </w:p>
    <w:p>
      <w:pPr>
        <w:pStyle w:val="4"/>
        <w:numPr>
          <w:ilvl w:val="1"/>
          <w:numId w:val="0"/>
        </w:numPr>
        <w:rPr>
          <w:rFonts w:ascii="宋体" w:hAnsi="宋体" w:eastAsia="宋体" w:cs="宋体"/>
          <w:bCs/>
          <w:sz w:val="24"/>
        </w:rPr>
      </w:pPr>
      <w:bookmarkStart w:id="19" w:name="_Toc17011"/>
      <w:r>
        <w:rPr>
          <w:rFonts w:hint="eastAsia"/>
          <w:sz w:val="24"/>
          <w:szCs w:val="24"/>
        </w:rPr>
        <w:t>2.5 *售后服务要求：质保期12个月，故障响应时间24小时以内。</w:t>
      </w:r>
      <w:bookmarkEnd w:id="19"/>
    </w:p>
    <w:p>
      <w:pPr>
        <w:pStyle w:val="4"/>
        <w:numPr>
          <w:ilvl w:val="1"/>
          <w:numId w:val="0"/>
        </w:numPr>
        <w:rPr>
          <w:rFonts w:hint="eastAsia"/>
          <w:sz w:val="24"/>
          <w:szCs w:val="24"/>
        </w:rPr>
      </w:pPr>
      <w:bookmarkStart w:id="20" w:name="_Toc16454"/>
      <w:r>
        <w:rPr>
          <w:rFonts w:hint="eastAsia"/>
          <w:sz w:val="24"/>
          <w:szCs w:val="24"/>
        </w:rPr>
        <w:t>2.6 *合同计价方式：总价包干合同。</w:t>
      </w:r>
      <w:bookmarkEnd w:id="20"/>
    </w:p>
    <w:p>
      <w:pPr>
        <w:pStyle w:val="4"/>
        <w:numPr>
          <w:ilvl w:val="1"/>
          <w:numId w:val="0"/>
        </w:numPr>
        <w:rPr>
          <w:rFonts w:hint="eastAsia"/>
          <w:sz w:val="24"/>
          <w:szCs w:val="24"/>
        </w:rPr>
      </w:pPr>
      <w:bookmarkStart w:id="21" w:name="_Toc2787"/>
      <w:r>
        <w:rPr>
          <w:rFonts w:hint="eastAsia"/>
          <w:sz w:val="24"/>
          <w:szCs w:val="24"/>
        </w:rPr>
        <w:t>2.</w:t>
      </w:r>
      <w:r>
        <w:rPr>
          <w:rFonts w:hint="eastAsia"/>
          <w:sz w:val="24"/>
          <w:szCs w:val="24"/>
          <w:lang w:val="en-US" w:eastAsia="zh-CN"/>
        </w:rPr>
        <w:t>7</w:t>
      </w:r>
      <w:r>
        <w:rPr>
          <w:rFonts w:hint="eastAsia"/>
          <w:sz w:val="24"/>
          <w:szCs w:val="24"/>
        </w:rPr>
        <w:t xml:space="preserve"> *报价要求：</w:t>
      </w:r>
      <w:bookmarkEnd w:id="21"/>
      <w:bookmarkStart w:id="22" w:name="_Toc16240"/>
    </w:p>
    <w:p>
      <w:pPr>
        <w:bidi w:val="0"/>
        <w:ind w:firstLine="480" w:firstLineChars="200"/>
        <w:rPr>
          <w:sz w:val="24"/>
          <w:szCs w:val="24"/>
        </w:rPr>
      </w:pPr>
      <w:r>
        <w:rPr>
          <w:rFonts w:hint="eastAsia"/>
          <w:sz w:val="24"/>
          <w:szCs w:val="24"/>
        </w:rPr>
        <w:t>人民币报价，本项目服务费采用包干制，投标报价应包括服务成本、法定税费和企业的利润等一切费用。由投标人根据招标文件所提供的资料自行测算投标报价；一经中标，投标报价总价作为投标人与采购人签订的合同金额，合同期限内不做调整；</w:t>
      </w:r>
      <w:bookmarkEnd w:id="22"/>
    </w:p>
    <w:p>
      <w:pPr>
        <w:pStyle w:val="4"/>
        <w:numPr>
          <w:ilvl w:val="1"/>
          <w:numId w:val="0"/>
        </w:numPr>
        <w:rPr>
          <w:sz w:val="24"/>
          <w:szCs w:val="24"/>
        </w:rPr>
      </w:pPr>
      <w:bookmarkStart w:id="23" w:name="_Toc31419"/>
      <w:r>
        <w:rPr>
          <w:rFonts w:hint="eastAsia"/>
          <w:sz w:val="24"/>
          <w:szCs w:val="24"/>
        </w:rPr>
        <w:t>2.</w:t>
      </w:r>
      <w:r>
        <w:rPr>
          <w:rFonts w:hint="eastAsia"/>
          <w:sz w:val="24"/>
          <w:szCs w:val="24"/>
          <w:lang w:val="en-US" w:eastAsia="zh-CN"/>
        </w:rPr>
        <w:t>8</w:t>
      </w:r>
      <w:r>
        <w:rPr>
          <w:rFonts w:hint="eastAsia"/>
          <w:sz w:val="24"/>
          <w:szCs w:val="24"/>
        </w:rPr>
        <w:t xml:space="preserve"> </w:t>
      </w:r>
      <w:r>
        <w:rPr>
          <w:rFonts w:hint="eastAsia" w:cs="宋体"/>
          <w:bCs/>
          <w:sz w:val="24"/>
        </w:rPr>
        <w:t>*付款方式</w:t>
      </w:r>
      <w:r>
        <w:rPr>
          <w:rFonts w:hint="eastAsia"/>
          <w:sz w:val="24"/>
          <w:szCs w:val="24"/>
        </w:rPr>
        <w:t>：</w:t>
      </w:r>
      <w:bookmarkEnd w:id="23"/>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首款：合同签订后支付合同金额的50%；</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尾款：验收合格支付合同尾款。</w:t>
      </w:r>
    </w:p>
    <w:p/>
    <w:p>
      <w:pPr>
        <w:pStyle w:val="3"/>
      </w:pPr>
      <w:bookmarkStart w:id="24" w:name="_Toc10332"/>
      <w:r>
        <w:rPr>
          <w:rFonts w:hint="eastAsia"/>
        </w:rPr>
        <w:t>投标人须知</w:t>
      </w:r>
      <w:bookmarkEnd w:id="24"/>
    </w:p>
    <w:p>
      <w:pPr>
        <w:pStyle w:val="4"/>
        <w:rPr>
          <w:sz w:val="24"/>
          <w:szCs w:val="24"/>
        </w:rPr>
      </w:pPr>
      <w:r>
        <w:rPr>
          <w:rFonts w:hint="eastAsia"/>
          <w:sz w:val="24"/>
          <w:szCs w:val="24"/>
        </w:rPr>
        <w:t xml:space="preserve"> </w:t>
      </w:r>
      <w:bookmarkStart w:id="25" w:name="_Toc9072"/>
      <w:r>
        <w:rPr>
          <w:rFonts w:hint="eastAsia"/>
          <w:sz w:val="24"/>
          <w:szCs w:val="24"/>
        </w:rPr>
        <w:t>说明</w:t>
      </w:r>
      <w:bookmarkEnd w:id="25"/>
    </w:p>
    <w:p>
      <w:pPr>
        <w:pStyle w:val="5"/>
        <w:rPr>
          <w:rFonts w:ascii="宋体" w:hAnsi="宋体"/>
          <w:szCs w:val="24"/>
        </w:rPr>
      </w:pPr>
      <w:bookmarkStart w:id="26" w:name="_Toc29694"/>
      <w:r>
        <w:rPr>
          <w:rFonts w:hint="eastAsia" w:ascii="宋体" w:hAnsi="宋体"/>
          <w:szCs w:val="24"/>
        </w:rPr>
        <w:t>资金来源</w:t>
      </w:r>
      <w:bookmarkEnd w:id="26"/>
    </w:p>
    <w:p>
      <w:pPr>
        <w:spacing w:line="276" w:lineRule="auto"/>
        <w:ind w:firstLine="480" w:firstLineChars="200"/>
        <w:rPr>
          <w:rFonts w:ascii="宋体" w:hAnsi="宋体"/>
          <w:sz w:val="24"/>
        </w:rPr>
      </w:pPr>
      <w:r>
        <w:rPr>
          <w:rFonts w:hint="eastAsia" w:ascii="宋体" w:hAnsi="宋体"/>
          <w:sz w:val="24"/>
        </w:rPr>
        <w:t>招标人自有资金。</w:t>
      </w:r>
    </w:p>
    <w:p>
      <w:pPr>
        <w:pStyle w:val="5"/>
        <w:rPr>
          <w:rFonts w:ascii="宋体" w:hAnsi="宋体"/>
          <w:szCs w:val="24"/>
        </w:rPr>
      </w:pPr>
      <w:bookmarkStart w:id="27" w:name="_Toc5096"/>
      <w:r>
        <w:rPr>
          <w:rFonts w:hint="eastAsia" w:ascii="宋体" w:hAnsi="宋体"/>
          <w:szCs w:val="24"/>
        </w:rPr>
        <w:t>招标人</w:t>
      </w:r>
      <w:bookmarkEnd w:id="27"/>
    </w:p>
    <w:p>
      <w:pPr>
        <w:spacing w:line="276" w:lineRule="auto"/>
        <w:ind w:firstLine="480" w:firstLineChars="200"/>
        <w:rPr>
          <w:rFonts w:ascii="宋体" w:hAnsi="宋体"/>
          <w:b/>
          <w:kern w:val="0"/>
          <w:sz w:val="24"/>
        </w:rPr>
      </w:pPr>
      <w:r>
        <w:rPr>
          <w:rFonts w:hint="eastAsia" w:ascii="宋体" w:hAnsi="宋体"/>
          <w:kern w:val="0"/>
          <w:sz w:val="24"/>
        </w:rPr>
        <w:t>招标人名称：深圳英飞拓智园科技有限公司</w:t>
      </w:r>
      <w:r>
        <w:rPr>
          <w:rFonts w:hint="eastAsia" w:ascii="宋体" w:hAnsi="宋体"/>
          <w:b/>
          <w:kern w:val="0"/>
          <w:sz w:val="24"/>
        </w:rPr>
        <w:t xml:space="preserve"> </w:t>
      </w:r>
    </w:p>
    <w:p>
      <w:pPr>
        <w:pStyle w:val="5"/>
        <w:rPr>
          <w:rFonts w:ascii="宋体" w:hAnsi="宋体"/>
          <w:szCs w:val="24"/>
        </w:rPr>
      </w:pPr>
      <w:bookmarkStart w:id="28" w:name="_Toc15003"/>
      <w:r>
        <w:rPr>
          <w:rFonts w:hint="eastAsia" w:ascii="宋体" w:hAnsi="宋体"/>
          <w:szCs w:val="24"/>
        </w:rPr>
        <w:t>合格的投标人</w:t>
      </w:r>
      <w:bookmarkEnd w:id="28"/>
    </w:p>
    <w:p>
      <w:pPr>
        <w:numPr>
          <w:ilvl w:val="0"/>
          <w:numId w:val="6"/>
        </w:numPr>
        <w:spacing w:line="276" w:lineRule="auto"/>
        <w:ind w:firstLine="6"/>
        <w:rPr>
          <w:rFonts w:ascii="宋体" w:hAnsi="宋体"/>
          <w:sz w:val="24"/>
        </w:rPr>
      </w:pPr>
      <w:r>
        <w:rPr>
          <w:rFonts w:hint="eastAsia" w:ascii="宋体" w:hAnsi="宋体"/>
          <w:sz w:val="24"/>
        </w:rPr>
        <w:t>投标人应遵守中华人民共和国有关的法律和招标条例。</w:t>
      </w:r>
    </w:p>
    <w:p>
      <w:pPr>
        <w:numPr>
          <w:ilvl w:val="0"/>
          <w:numId w:val="6"/>
        </w:numPr>
        <w:spacing w:line="276" w:lineRule="auto"/>
        <w:ind w:firstLine="6"/>
        <w:rPr>
          <w:rFonts w:ascii="宋体" w:hAnsi="宋体"/>
          <w:sz w:val="24"/>
        </w:rPr>
      </w:pPr>
      <w:r>
        <w:rPr>
          <w:rFonts w:hint="eastAsia" w:ascii="宋体" w:hAnsi="宋体"/>
          <w:sz w:val="24"/>
        </w:rPr>
        <w:t>投标人资质要求满足本次招标公告和招标项目要求中所述的要求。</w:t>
      </w:r>
    </w:p>
    <w:p>
      <w:pPr>
        <w:pStyle w:val="5"/>
        <w:rPr>
          <w:rFonts w:ascii="宋体" w:hAnsi="宋体"/>
          <w:szCs w:val="24"/>
        </w:rPr>
      </w:pPr>
      <w:bookmarkStart w:id="29" w:name="_Toc16798"/>
      <w:r>
        <w:rPr>
          <w:rFonts w:hint="eastAsia" w:ascii="宋体" w:hAnsi="宋体"/>
          <w:szCs w:val="24"/>
        </w:rPr>
        <w:t>投标费用</w:t>
      </w:r>
      <w:bookmarkEnd w:id="29"/>
    </w:p>
    <w:p>
      <w:pPr>
        <w:spacing w:line="276" w:lineRule="auto"/>
        <w:ind w:left="284" w:firstLine="280" w:firstLineChars="117"/>
        <w:rPr>
          <w:rFonts w:ascii="宋体" w:hAnsi="宋体"/>
          <w:sz w:val="24"/>
        </w:rPr>
      </w:pPr>
      <w:r>
        <w:rPr>
          <w:rFonts w:hint="eastAsia" w:ascii="宋体" w:hAnsi="宋体"/>
          <w:sz w:val="24"/>
        </w:rPr>
        <w:t>投标人自行承担所有与准备和参加投标有关的全部费用。无论投标过程中的作法和结果如何，招标人均无义务和责任承担这些费用。</w:t>
      </w:r>
    </w:p>
    <w:p>
      <w:pPr>
        <w:pStyle w:val="4"/>
        <w:rPr>
          <w:sz w:val="24"/>
          <w:szCs w:val="24"/>
        </w:rPr>
      </w:pPr>
      <w:r>
        <w:rPr>
          <w:rFonts w:hint="eastAsia"/>
          <w:sz w:val="24"/>
          <w:szCs w:val="24"/>
        </w:rPr>
        <w:t xml:space="preserve"> </w:t>
      </w:r>
      <w:bookmarkStart w:id="30" w:name="_Toc20461"/>
      <w:r>
        <w:rPr>
          <w:rFonts w:hint="eastAsia"/>
          <w:sz w:val="24"/>
          <w:szCs w:val="24"/>
        </w:rPr>
        <w:t>招标文件</w:t>
      </w:r>
      <w:bookmarkEnd w:id="30"/>
    </w:p>
    <w:p>
      <w:pPr>
        <w:pStyle w:val="5"/>
        <w:rPr>
          <w:rFonts w:ascii="宋体" w:hAnsi="宋体"/>
          <w:szCs w:val="24"/>
        </w:rPr>
      </w:pPr>
      <w:bookmarkStart w:id="31" w:name="_Toc15594"/>
      <w:r>
        <w:rPr>
          <w:rFonts w:hint="eastAsia" w:ascii="宋体" w:hAnsi="宋体"/>
          <w:szCs w:val="24"/>
        </w:rPr>
        <w:t>招标文件构成</w:t>
      </w:r>
      <w:bookmarkEnd w:id="31"/>
    </w:p>
    <w:p>
      <w:pPr>
        <w:numPr>
          <w:ilvl w:val="0"/>
          <w:numId w:val="7"/>
        </w:numPr>
        <w:spacing w:line="276" w:lineRule="auto"/>
        <w:ind w:left="284" w:firstLine="281"/>
        <w:rPr>
          <w:rFonts w:ascii="宋体" w:hAnsi="宋体"/>
          <w:sz w:val="24"/>
        </w:rPr>
      </w:pPr>
      <w:r>
        <w:rPr>
          <w:rFonts w:hint="eastAsia" w:ascii="宋体" w:hAnsi="宋体"/>
          <w:sz w:val="24"/>
        </w:rPr>
        <w:t>招标文件是阐明投标文件的编写、递交，招标投标程序，评标原则、中标条件和相关的合同条款。招标文件除以下内容外，招标人在招标期间发布的答疑文件和其他补充修改函件，均是招标文件的组成部分，对投标人起约束作用。招标文件共五章，内容如下：</w:t>
      </w:r>
    </w:p>
    <w:p>
      <w:pPr>
        <w:spacing w:before="120" w:line="276" w:lineRule="auto"/>
        <w:ind w:left="1035" w:leftChars="493" w:firstLine="480" w:firstLineChars="200"/>
        <w:rPr>
          <w:rFonts w:ascii="宋体" w:hAnsi="宋体"/>
          <w:sz w:val="24"/>
        </w:rPr>
      </w:pPr>
      <w:r>
        <w:rPr>
          <w:rFonts w:hint="eastAsia" w:ascii="宋体" w:hAnsi="宋体"/>
          <w:sz w:val="24"/>
        </w:rPr>
        <w:t>第一章    招标公告</w:t>
      </w:r>
    </w:p>
    <w:p>
      <w:pPr>
        <w:spacing w:before="120" w:line="276" w:lineRule="auto"/>
        <w:ind w:left="1035" w:leftChars="493" w:firstLine="480" w:firstLineChars="200"/>
        <w:rPr>
          <w:rFonts w:ascii="宋体" w:hAnsi="宋体"/>
          <w:sz w:val="24"/>
        </w:rPr>
      </w:pPr>
      <w:r>
        <w:rPr>
          <w:rFonts w:hint="eastAsia" w:ascii="宋体" w:hAnsi="宋体"/>
          <w:sz w:val="24"/>
        </w:rPr>
        <w:t>第二章    招标项目要求</w:t>
      </w:r>
    </w:p>
    <w:p>
      <w:pPr>
        <w:spacing w:before="120" w:line="276" w:lineRule="auto"/>
        <w:ind w:left="1035" w:leftChars="493" w:firstLine="480" w:firstLineChars="200"/>
        <w:rPr>
          <w:rFonts w:ascii="宋体" w:hAnsi="宋体"/>
          <w:sz w:val="24"/>
        </w:rPr>
      </w:pPr>
      <w:r>
        <w:rPr>
          <w:rFonts w:hint="eastAsia" w:ascii="宋体" w:hAnsi="宋体"/>
          <w:sz w:val="24"/>
        </w:rPr>
        <w:t>第三章    投标人须知</w:t>
      </w:r>
    </w:p>
    <w:p>
      <w:pPr>
        <w:spacing w:before="120" w:line="276" w:lineRule="auto"/>
        <w:ind w:left="1035" w:leftChars="493" w:firstLine="480" w:firstLineChars="200"/>
        <w:rPr>
          <w:rFonts w:ascii="宋体" w:hAnsi="宋体"/>
          <w:sz w:val="24"/>
        </w:rPr>
      </w:pPr>
      <w:r>
        <w:rPr>
          <w:rFonts w:hint="eastAsia" w:ascii="宋体" w:hAnsi="宋体"/>
          <w:sz w:val="24"/>
        </w:rPr>
        <w:t>第四章    合同格式</w:t>
      </w:r>
    </w:p>
    <w:p>
      <w:pPr>
        <w:spacing w:before="120" w:line="276" w:lineRule="auto"/>
        <w:ind w:left="1035" w:leftChars="493" w:firstLine="480" w:firstLineChars="200"/>
        <w:rPr>
          <w:rFonts w:ascii="宋体" w:hAnsi="宋体"/>
          <w:sz w:val="24"/>
        </w:rPr>
      </w:pPr>
      <w:r>
        <w:rPr>
          <w:rFonts w:hint="eastAsia" w:ascii="宋体" w:hAnsi="宋体"/>
          <w:sz w:val="24"/>
        </w:rPr>
        <w:t>第五章    投标文件目录</w:t>
      </w:r>
    </w:p>
    <w:p>
      <w:pPr>
        <w:numPr>
          <w:ilvl w:val="0"/>
          <w:numId w:val="7"/>
        </w:numPr>
        <w:spacing w:line="276" w:lineRule="auto"/>
        <w:ind w:left="284" w:firstLine="281"/>
        <w:rPr>
          <w:rFonts w:ascii="宋体" w:hAnsi="宋体"/>
          <w:sz w:val="24"/>
        </w:rPr>
      </w:pPr>
      <w:r>
        <w:rPr>
          <w:rFonts w:hint="eastAsia" w:ascii="宋体" w:hAnsi="宋体"/>
          <w:sz w:val="24"/>
        </w:rPr>
        <w:t>投标人购取招标文件后，应仔细检查招标文件的所有内容，如有残缺应在第一章招标公告规定的投标人提交招标文件疑问截止时间前向招标人提出，否则由此引起的投标损失自负。</w:t>
      </w:r>
    </w:p>
    <w:p>
      <w:pPr>
        <w:numPr>
          <w:ilvl w:val="0"/>
          <w:numId w:val="7"/>
        </w:numPr>
        <w:spacing w:line="276" w:lineRule="auto"/>
        <w:ind w:left="284" w:firstLine="281"/>
        <w:rPr>
          <w:rFonts w:ascii="宋体" w:hAnsi="宋体"/>
          <w:sz w:val="24"/>
        </w:rPr>
      </w:pPr>
      <w:r>
        <w:rPr>
          <w:rFonts w:hint="eastAsia" w:ascii="宋体" w:hAnsi="宋体"/>
          <w:sz w:val="24"/>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pPr>
        <w:pStyle w:val="5"/>
        <w:rPr>
          <w:rFonts w:ascii="宋体" w:hAnsi="宋体"/>
          <w:szCs w:val="24"/>
        </w:rPr>
      </w:pPr>
      <w:bookmarkStart w:id="32" w:name="_Toc26727"/>
      <w:r>
        <w:rPr>
          <w:rFonts w:hint="eastAsia" w:ascii="宋体" w:hAnsi="宋体"/>
          <w:szCs w:val="24"/>
        </w:rPr>
        <w:t>招标文件的澄清</w:t>
      </w:r>
      <w:bookmarkEnd w:id="32"/>
    </w:p>
    <w:p>
      <w:pPr>
        <w:spacing w:line="276" w:lineRule="auto"/>
        <w:ind w:left="284" w:firstLine="280" w:firstLineChars="117"/>
        <w:rPr>
          <w:rFonts w:ascii="宋体" w:hAnsi="宋体"/>
          <w:sz w:val="24"/>
        </w:rPr>
      </w:pPr>
      <w:r>
        <w:rPr>
          <w:rFonts w:hint="eastAsia" w:ascii="宋体" w:hAnsi="宋体"/>
          <w:sz w:val="24"/>
        </w:rPr>
        <w:t>任何要求对招标文件进行澄清的投标人，均应以书面形式通知招标人。招标人对其在第一章招标公告规定的投标人提交招标文件疑问截止时间前收到的对招标文件的澄清要求（必须为书面形式）均以书面形式在第一章招标公告规定的</w:t>
      </w:r>
      <w:r>
        <w:rPr>
          <w:rFonts w:hint="eastAsia" w:ascii="宋体" w:hAnsi="宋体"/>
          <w:sz w:val="24"/>
        </w:rPr>
        <w:tab/>
      </w:r>
      <w:r>
        <w:rPr>
          <w:rFonts w:hint="eastAsia" w:ascii="宋体" w:hAnsi="宋体"/>
          <w:sz w:val="24"/>
        </w:rPr>
        <w:t>招标文件答疑、补遗、修改截止时间前予以答复，并将书面答复发给每个购买招标文件的投标人（答复中不包括问题的来源）。</w:t>
      </w:r>
    </w:p>
    <w:p>
      <w:pPr>
        <w:pStyle w:val="5"/>
        <w:rPr>
          <w:rFonts w:ascii="宋体" w:hAnsi="宋体"/>
          <w:szCs w:val="24"/>
        </w:rPr>
      </w:pPr>
      <w:bookmarkStart w:id="33" w:name="_Toc8191"/>
      <w:r>
        <w:rPr>
          <w:rFonts w:hint="eastAsia" w:ascii="宋体" w:hAnsi="宋体"/>
          <w:szCs w:val="24"/>
        </w:rPr>
        <w:t>招标文件的修改</w:t>
      </w:r>
      <w:bookmarkEnd w:id="33"/>
    </w:p>
    <w:p>
      <w:pPr>
        <w:numPr>
          <w:ilvl w:val="0"/>
          <w:numId w:val="8"/>
        </w:numPr>
        <w:spacing w:line="276" w:lineRule="auto"/>
        <w:ind w:left="284" w:firstLine="281"/>
        <w:rPr>
          <w:rFonts w:ascii="宋体" w:hAnsi="宋体"/>
          <w:sz w:val="24"/>
        </w:rPr>
      </w:pPr>
      <w:r>
        <w:rPr>
          <w:rFonts w:hint="eastAsia" w:ascii="宋体" w:hAnsi="宋体"/>
          <w:sz w:val="24"/>
        </w:rPr>
        <w:t>在投标截止期前的任何时候，无论出于何种原因，招标人可主动地或在解答投标人提出的澄清问题时对招标文件进行修改。</w:t>
      </w:r>
    </w:p>
    <w:p>
      <w:pPr>
        <w:numPr>
          <w:ilvl w:val="0"/>
          <w:numId w:val="8"/>
        </w:numPr>
        <w:spacing w:line="276" w:lineRule="auto"/>
        <w:ind w:left="284" w:firstLine="281"/>
        <w:rPr>
          <w:rFonts w:ascii="宋体" w:hAnsi="宋体"/>
          <w:sz w:val="24"/>
        </w:rPr>
      </w:pPr>
      <w:r>
        <w:rPr>
          <w:rFonts w:hint="eastAsia" w:ascii="宋体" w:hAnsi="宋体"/>
          <w:sz w:val="24"/>
        </w:rPr>
        <w:t>招标文件的修改将以书面形式通知所有购买招标文件的投标人，并对其具有约束力。投标人在收到上述通知后，应立即向招标人回函确认。</w:t>
      </w:r>
    </w:p>
    <w:p>
      <w:pPr>
        <w:numPr>
          <w:ilvl w:val="0"/>
          <w:numId w:val="8"/>
        </w:numPr>
        <w:spacing w:line="276" w:lineRule="auto"/>
        <w:ind w:left="284" w:firstLine="281"/>
        <w:rPr>
          <w:rFonts w:ascii="宋体" w:hAnsi="宋体"/>
          <w:sz w:val="24"/>
        </w:rPr>
      </w:pPr>
      <w:r>
        <w:rPr>
          <w:rFonts w:hint="eastAsia" w:ascii="宋体" w:hAnsi="宋体"/>
          <w:sz w:val="24"/>
        </w:rPr>
        <w:t>招标文件、招标文件澄清文件、招标文件补充修改通知内容均以书面明确的内容为准。当招标文件、澄清文件、补充修改通知内容相互矛盾时，以最后发出的文件或通知为准。</w:t>
      </w:r>
    </w:p>
    <w:p>
      <w:pPr>
        <w:pStyle w:val="4"/>
        <w:rPr>
          <w:sz w:val="24"/>
          <w:szCs w:val="24"/>
        </w:rPr>
      </w:pPr>
      <w:bookmarkStart w:id="34" w:name="_Toc22201"/>
      <w:r>
        <w:rPr>
          <w:rFonts w:hint="eastAsia"/>
          <w:sz w:val="24"/>
          <w:szCs w:val="24"/>
        </w:rPr>
        <w:t>投标文件的编制</w:t>
      </w:r>
      <w:bookmarkEnd w:id="34"/>
    </w:p>
    <w:p>
      <w:pPr>
        <w:pStyle w:val="5"/>
        <w:rPr>
          <w:rFonts w:ascii="宋体" w:hAnsi="宋体"/>
          <w:szCs w:val="24"/>
        </w:rPr>
      </w:pPr>
      <w:bookmarkStart w:id="35" w:name="_Toc14068"/>
      <w:r>
        <w:rPr>
          <w:rFonts w:hint="eastAsia" w:ascii="宋体" w:hAnsi="宋体"/>
          <w:szCs w:val="24"/>
        </w:rPr>
        <w:t>投标的语言</w:t>
      </w:r>
      <w:bookmarkEnd w:id="35"/>
    </w:p>
    <w:p>
      <w:pPr>
        <w:spacing w:line="276" w:lineRule="auto"/>
        <w:ind w:left="284" w:firstLine="280" w:firstLineChars="117"/>
        <w:rPr>
          <w:rFonts w:ascii="宋体" w:hAnsi="宋体"/>
          <w:b/>
          <w:bCs/>
          <w:sz w:val="24"/>
        </w:rPr>
      </w:pPr>
      <w:r>
        <w:rPr>
          <w:rFonts w:hint="eastAsia" w:ascii="宋体" w:hAnsi="宋体"/>
          <w:sz w:val="24"/>
        </w:rPr>
        <w:t>投标人提交的投标文件以及投标人与招标人就有关投标的所有来往函电均应使用中文书写。对于任何非中文的资料，都应提供中文翻译本，在解释时以中文翻译本为准。</w:t>
      </w:r>
    </w:p>
    <w:p>
      <w:pPr>
        <w:pStyle w:val="5"/>
        <w:rPr>
          <w:rFonts w:ascii="宋体" w:hAnsi="宋体"/>
          <w:szCs w:val="24"/>
        </w:rPr>
      </w:pPr>
      <w:bookmarkStart w:id="36" w:name="_Toc29243"/>
      <w:r>
        <w:rPr>
          <w:rFonts w:hint="eastAsia" w:ascii="宋体" w:hAnsi="宋体"/>
          <w:szCs w:val="24"/>
        </w:rPr>
        <w:t>投标文件构成</w:t>
      </w:r>
      <w:bookmarkEnd w:id="36"/>
    </w:p>
    <w:p>
      <w:pPr>
        <w:spacing w:line="276" w:lineRule="auto"/>
        <w:ind w:firstLine="480" w:firstLineChars="200"/>
        <w:rPr>
          <w:rFonts w:ascii="宋体" w:hAnsi="宋体"/>
          <w:sz w:val="24"/>
        </w:rPr>
      </w:pPr>
      <w:r>
        <w:rPr>
          <w:rFonts w:hint="eastAsia" w:ascii="宋体" w:hAnsi="宋体"/>
          <w:sz w:val="24"/>
        </w:rPr>
        <w:t>投标人编写的投标文件应包括下列部分，否则将导致其投标被拒绝：</w:t>
      </w:r>
    </w:p>
    <w:p>
      <w:pPr>
        <w:numPr>
          <w:ilvl w:val="0"/>
          <w:numId w:val="9"/>
        </w:numPr>
        <w:spacing w:line="360" w:lineRule="auto"/>
        <w:rPr>
          <w:rFonts w:ascii="宋体" w:hAnsi="宋体"/>
          <w:sz w:val="24"/>
        </w:rPr>
      </w:pPr>
      <w:r>
        <w:rPr>
          <w:rFonts w:hint="eastAsia" w:ascii="宋体" w:hAnsi="宋体"/>
          <w:sz w:val="24"/>
        </w:rPr>
        <w:t>投标书；</w:t>
      </w:r>
    </w:p>
    <w:p>
      <w:pPr>
        <w:numPr>
          <w:ilvl w:val="0"/>
          <w:numId w:val="9"/>
        </w:numPr>
        <w:spacing w:line="360" w:lineRule="auto"/>
        <w:rPr>
          <w:rFonts w:ascii="宋体" w:hAnsi="宋体"/>
          <w:sz w:val="24"/>
        </w:rPr>
      </w:pPr>
      <w:r>
        <w:rPr>
          <w:rFonts w:hint="eastAsia" w:ascii="宋体" w:hAnsi="宋体"/>
          <w:sz w:val="24"/>
        </w:rPr>
        <w:t>投标廉政承诺书；</w:t>
      </w:r>
    </w:p>
    <w:p>
      <w:pPr>
        <w:numPr>
          <w:ilvl w:val="0"/>
          <w:numId w:val="9"/>
        </w:numPr>
        <w:spacing w:line="360" w:lineRule="auto"/>
        <w:rPr>
          <w:rFonts w:ascii="宋体" w:hAnsi="宋体"/>
          <w:sz w:val="24"/>
        </w:rPr>
      </w:pPr>
      <w:r>
        <w:rPr>
          <w:rFonts w:hint="eastAsia" w:ascii="宋体" w:hAnsi="宋体"/>
          <w:sz w:val="24"/>
        </w:rPr>
        <w:t>开标一览表；</w:t>
      </w:r>
    </w:p>
    <w:p>
      <w:pPr>
        <w:numPr>
          <w:ilvl w:val="0"/>
          <w:numId w:val="9"/>
        </w:numPr>
        <w:spacing w:line="360" w:lineRule="auto"/>
        <w:rPr>
          <w:rFonts w:ascii="宋体" w:hAnsi="宋体"/>
          <w:sz w:val="24"/>
        </w:rPr>
      </w:pPr>
      <w:r>
        <w:rPr>
          <w:rFonts w:hint="eastAsia" w:ascii="宋体" w:hAnsi="宋体"/>
          <w:sz w:val="24"/>
        </w:rPr>
        <w:t>分项报价清单；</w:t>
      </w:r>
    </w:p>
    <w:p>
      <w:pPr>
        <w:numPr>
          <w:ilvl w:val="0"/>
          <w:numId w:val="9"/>
        </w:numPr>
        <w:spacing w:line="360" w:lineRule="auto"/>
        <w:rPr>
          <w:rFonts w:ascii="宋体" w:hAnsi="宋体"/>
          <w:sz w:val="24"/>
        </w:rPr>
      </w:pPr>
      <w:r>
        <w:rPr>
          <w:rFonts w:hint="eastAsia" w:ascii="宋体" w:hAnsi="宋体"/>
          <w:sz w:val="24"/>
        </w:rPr>
        <w:t>招标服务条款偏离表；</w:t>
      </w:r>
    </w:p>
    <w:p>
      <w:pPr>
        <w:numPr>
          <w:ilvl w:val="0"/>
          <w:numId w:val="9"/>
        </w:numPr>
        <w:spacing w:line="360" w:lineRule="auto"/>
        <w:rPr>
          <w:rFonts w:ascii="宋体" w:hAnsi="宋体"/>
          <w:sz w:val="24"/>
        </w:rPr>
      </w:pPr>
      <w:r>
        <w:rPr>
          <w:rFonts w:hint="eastAsia" w:ascii="宋体" w:hAnsi="宋体"/>
          <w:sz w:val="24"/>
        </w:rPr>
        <w:t>全套资格证明文件；</w:t>
      </w:r>
    </w:p>
    <w:p>
      <w:pPr>
        <w:numPr>
          <w:ilvl w:val="0"/>
          <w:numId w:val="9"/>
        </w:numPr>
        <w:spacing w:line="360" w:lineRule="auto"/>
        <w:rPr>
          <w:rFonts w:ascii="宋体" w:hAnsi="宋体"/>
          <w:sz w:val="24"/>
        </w:rPr>
      </w:pPr>
      <w:r>
        <w:rPr>
          <w:rFonts w:hint="eastAsia" w:ascii="宋体" w:hAnsi="宋体"/>
          <w:sz w:val="24"/>
        </w:rPr>
        <w:t>投标单位基本情况介绍，拟指定项目负责人介绍（格式自拟）；</w:t>
      </w:r>
    </w:p>
    <w:p>
      <w:pPr>
        <w:numPr>
          <w:ilvl w:val="0"/>
          <w:numId w:val="9"/>
        </w:numPr>
        <w:spacing w:line="360" w:lineRule="auto"/>
        <w:rPr>
          <w:rFonts w:ascii="宋体" w:hAnsi="宋体"/>
          <w:sz w:val="24"/>
        </w:rPr>
      </w:pPr>
      <w:r>
        <w:rPr>
          <w:rFonts w:hint="eastAsia" w:ascii="宋体" w:hAnsi="宋体"/>
          <w:sz w:val="24"/>
        </w:rPr>
        <w:t>项目实施方案（格式自拟）；</w:t>
      </w:r>
    </w:p>
    <w:p>
      <w:pPr>
        <w:numPr>
          <w:ilvl w:val="0"/>
          <w:numId w:val="9"/>
        </w:numPr>
        <w:spacing w:line="360" w:lineRule="auto"/>
        <w:rPr>
          <w:rFonts w:ascii="宋体" w:hAnsi="宋体"/>
          <w:sz w:val="24"/>
        </w:rPr>
      </w:pPr>
      <w:r>
        <w:rPr>
          <w:rFonts w:hint="eastAsia" w:ascii="宋体" w:hAnsi="宋体"/>
          <w:sz w:val="24"/>
        </w:rPr>
        <w:t>其他投标人认为需增加的内容（如其他承诺）。</w:t>
      </w:r>
    </w:p>
    <w:p>
      <w:pPr>
        <w:tabs>
          <w:tab w:val="left" w:pos="900"/>
        </w:tabs>
        <w:spacing w:line="276" w:lineRule="auto"/>
        <w:ind w:firstLine="472" w:firstLineChars="200"/>
        <w:rPr>
          <w:rFonts w:ascii="宋体" w:hAnsi="宋体"/>
          <w:sz w:val="24"/>
        </w:rPr>
      </w:pPr>
      <w:r>
        <w:rPr>
          <w:rFonts w:hint="eastAsia" w:ascii="宋体" w:hAnsi="宋体"/>
          <w:spacing w:val="-2"/>
          <w:sz w:val="24"/>
        </w:rPr>
        <w:t>投标人可以根据实际情况增加内容，但不得擅自减少有关内容。除经济投标书外，其他所有的标书文件均需提供一份电子档。</w:t>
      </w:r>
    </w:p>
    <w:p>
      <w:pPr>
        <w:spacing w:line="276" w:lineRule="auto"/>
        <w:ind w:firstLine="480" w:firstLineChars="200"/>
        <w:rPr>
          <w:rFonts w:ascii="宋体" w:hAnsi="宋体"/>
          <w:sz w:val="24"/>
        </w:rPr>
      </w:pPr>
      <w:r>
        <w:rPr>
          <w:rFonts w:hint="eastAsia" w:ascii="宋体" w:hAnsi="宋体"/>
          <w:sz w:val="24"/>
        </w:rPr>
        <w:t>投标人应将“投标文件”装订成册，每册前面均应有本册文件的目录。</w:t>
      </w:r>
    </w:p>
    <w:p>
      <w:pPr>
        <w:pStyle w:val="5"/>
        <w:rPr>
          <w:rFonts w:ascii="宋体" w:hAnsi="宋体"/>
          <w:szCs w:val="24"/>
        </w:rPr>
      </w:pPr>
      <w:bookmarkStart w:id="37" w:name="_Toc12531"/>
      <w:r>
        <w:rPr>
          <w:rFonts w:hint="eastAsia" w:ascii="宋体" w:hAnsi="宋体"/>
          <w:szCs w:val="24"/>
        </w:rPr>
        <w:t>投标文件格式</w:t>
      </w:r>
      <w:bookmarkEnd w:id="37"/>
    </w:p>
    <w:p>
      <w:pPr>
        <w:numPr>
          <w:ilvl w:val="0"/>
          <w:numId w:val="10"/>
        </w:numPr>
        <w:spacing w:line="276" w:lineRule="auto"/>
        <w:ind w:left="845" w:hanging="280"/>
        <w:rPr>
          <w:rFonts w:ascii="宋体" w:hAnsi="宋体"/>
          <w:sz w:val="24"/>
        </w:rPr>
      </w:pPr>
      <w:r>
        <w:rPr>
          <w:rFonts w:hint="eastAsia" w:ascii="宋体" w:hAnsi="宋体"/>
          <w:sz w:val="24"/>
        </w:rPr>
        <w:t>投标人必须按招标文件中提供的投标文件格式填写、提交投标文件。</w:t>
      </w:r>
    </w:p>
    <w:p>
      <w:pPr>
        <w:numPr>
          <w:ilvl w:val="0"/>
          <w:numId w:val="10"/>
        </w:numPr>
        <w:spacing w:line="276" w:lineRule="auto"/>
        <w:ind w:left="284" w:firstLine="283"/>
        <w:rPr>
          <w:rFonts w:ascii="宋体" w:hAnsi="宋体"/>
          <w:sz w:val="24"/>
        </w:rPr>
      </w:pPr>
      <w:r>
        <w:rPr>
          <w:rFonts w:hint="eastAsia" w:ascii="宋体" w:hAnsi="宋体"/>
          <w:sz w:val="24"/>
        </w:rPr>
        <w:t>如本文件表格中的栏目与投标人的实际情况不相适应，投标人可自行划表填写。</w:t>
      </w:r>
    </w:p>
    <w:p>
      <w:pPr>
        <w:pStyle w:val="5"/>
        <w:rPr>
          <w:rFonts w:ascii="宋体" w:hAnsi="宋体"/>
          <w:szCs w:val="24"/>
        </w:rPr>
      </w:pPr>
      <w:bookmarkStart w:id="38" w:name="_Toc21972"/>
      <w:r>
        <w:rPr>
          <w:rFonts w:hint="eastAsia" w:ascii="宋体" w:hAnsi="宋体"/>
          <w:szCs w:val="24"/>
        </w:rPr>
        <w:t>投标报价和货币</w:t>
      </w:r>
      <w:bookmarkEnd w:id="38"/>
    </w:p>
    <w:p>
      <w:pPr>
        <w:numPr>
          <w:ilvl w:val="0"/>
          <w:numId w:val="11"/>
        </w:numPr>
        <w:spacing w:line="276" w:lineRule="auto"/>
        <w:ind w:left="845" w:hanging="280"/>
        <w:rPr>
          <w:rFonts w:ascii="宋体" w:hAnsi="宋体"/>
          <w:sz w:val="24"/>
        </w:rPr>
      </w:pPr>
      <w:r>
        <w:rPr>
          <w:rFonts w:hint="eastAsia" w:ascii="宋体" w:hAnsi="宋体"/>
          <w:sz w:val="24"/>
        </w:rPr>
        <w:t>投标人应按招标文件规定的报价方式报价。</w:t>
      </w:r>
    </w:p>
    <w:p>
      <w:pPr>
        <w:numPr>
          <w:ilvl w:val="0"/>
          <w:numId w:val="11"/>
        </w:numPr>
        <w:spacing w:line="276" w:lineRule="auto"/>
        <w:ind w:left="284" w:firstLine="281"/>
        <w:rPr>
          <w:rFonts w:ascii="宋体" w:hAnsi="宋体"/>
          <w:sz w:val="24"/>
        </w:rPr>
      </w:pPr>
      <w:r>
        <w:rPr>
          <w:rFonts w:ascii="宋体" w:hAnsi="宋体"/>
          <w:sz w:val="24"/>
        </w:rPr>
        <w:t>国产的货物及其有关服务的报价应包括要向中华人民共和国政府缴纳的增值税和其他税。</w:t>
      </w:r>
    </w:p>
    <w:p>
      <w:pPr>
        <w:numPr>
          <w:ilvl w:val="0"/>
          <w:numId w:val="11"/>
        </w:numPr>
        <w:spacing w:line="276" w:lineRule="auto"/>
        <w:ind w:left="284" w:firstLine="281"/>
        <w:rPr>
          <w:rFonts w:ascii="宋体" w:hAnsi="宋体"/>
          <w:sz w:val="24"/>
        </w:rPr>
      </w:pPr>
      <w:r>
        <w:rPr>
          <w:rFonts w:ascii="宋体" w:hAnsi="宋体"/>
          <w:sz w:val="24"/>
        </w:rPr>
        <w:t>在中华人民共和国境内提供的进口货物及其有关服务的报价应包括要向中华人民共和国政府缴纳的关税、增值税和其他税。</w:t>
      </w:r>
    </w:p>
    <w:p>
      <w:pPr>
        <w:pStyle w:val="5"/>
        <w:rPr>
          <w:rFonts w:ascii="宋体" w:hAnsi="宋体"/>
          <w:szCs w:val="24"/>
        </w:rPr>
      </w:pPr>
      <w:bookmarkStart w:id="39" w:name="_Toc27652"/>
      <w:r>
        <w:rPr>
          <w:rFonts w:hint="eastAsia" w:ascii="宋体" w:hAnsi="宋体"/>
          <w:szCs w:val="24"/>
        </w:rPr>
        <w:t>投标人资格的证明文件</w:t>
      </w:r>
      <w:bookmarkEnd w:id="39"/>
    </w:p>
    <w:p>
      <w:pPr>
        <w:spacing w:line="276" w:lineRule="auto"/>
        <w:ind w:left="284" w:firstLine="280" w:firstLineChars="117"/>
        <w:rPr>
          <w:rFonts w:ascii="宋体" w:hAnsi="宋体"/>
          <w:sz w:val="24"/>
        </w:rPr>
      </w:pPr>
      <w:r>
        <w:rPr>
          <w:rFonts w:hint="eastAsia" w:ascii="宋体" w:hAnsi="宋体"/>
          <w:sz w:val="24"/>
        </w:rPr>
        <w:t>投标人必须提交证明其有资格进行投标和有能力履行合同的文件，作为投标文件的一部份。内容包括但不限于：</w:t>
      </w:r>
    </w:p>
    <w:p>
      <w:pPr>
        <w:numPr>
          <w:ilvl w:val="0"/>
          <w:numId w:val="12"/>
        </w:numPr>
        <w:tabs>
          <w:tab w:val="left" w:pos="1125"/>
        </w:tabs>
        <w:spacing w:line="276" w:lineRule="auto"/>
        <w:ind w:left="1190" w:hanging="340"/>
        <w:rPr>
          <w:rFonts w:ascii="宋体" w:hAnsi="宋体"/>
          <w:sz w:val="24"/>
        </w:rPr>
      </w:pPr>
      <w:r>
        <w:rPr>
          <w:rFonts w:hint="eastAsia" w:ascii="宋体" w:hAnsi="宋体"/>
          <w:sz w:val="24"/>
        </w:rPr>
        <w:t>营业执照副本复印件；</w:t>
      </w:r>
    </w:p>
    <w:p>
      <w:pPr>
        <w:numPr>
          <w:ilvl w:val="0"/>
          <w:numId w:val="12"/>
        </w:numPr>
        <w:tabs>
          <w:tab w:val="left" w:pos="1125"/>
        </w:tabs>
        <w:spacing w:line="276" w:lineRule="auto"/>
        <w:ind w:left="1190" w:hanging="340"/>
        <w:rPr>
          <w:rFonts w:ascii="宋体" w:hAnsi="宋体"/>
          <w:sz w:val="24"/>
        </w:rPr>
      </w:pPr>
      <w:r>
        <w:rPr>
          <w:rFonts w:hint="eastAsia" w:ascii="宋体" w:hAnsi="宋体"/>
          <w:sz w:val="24"/>
        </w:rPr>
        <w:t>法人代表证明书；</w:t>
      </w:r>
    </w:p>
    <w:p>
      <w:pPr>
        <w:numPr>
          <w:ilvl w:val="0"/>
          <w:numId w:val="12"/>
        </w:numPr>
        <w:tabs>
          <w:tab w:val="left" w:pos="1125"/>
        </w:tabs>
        <w:spacing w:line="276" w:lineRule="auto"/>
        <w:ind w:left="1190" w:hanging="340"/>
        <w:rPr>
          <w:rFonts w:ascii="宋体" w:hAnsi="宋体"/>
          <w:sz w:val="24"/>
        </w:rPr>
      </w:pPr>
      <w:r>
        <w:rPr>
          <w:rFonts w:hint="eastAsia" w:ascii="宋体" w:hAnsi="宋体"/>
          <w:sz w:val="24"/>
        </w:rPr>
        <w:t>法人代表授权委托书。</w:t>
      </w:r>
    </w:p>
    <w:p>
      <w:pPr>
        <w:pStyle w:val="5"/>
        <w:rPr>
          <w:rFonts w:ascii="宋体" w:hAnsi="宋体"/>
          <w:szCs w:val="24"/>
        </w:rPr>
      </w:pPr>
      <w:bookmarkStart w:id="40" w:name="_Toc25385"/>
      <w:r>
        <w:rPr>
          <w:rFonts w:hint="eastAsia" w:ascii="宋体" w:hAnsi="宋体"/>
          <w:szCs w:val="24"/>
        </w:rPr>
        <w:t>投标有效期</w:t>
      </w:r>
      <w:bookmarkEnd w:id="40"/>
    </w:p>
    <w:p>
      <w:pPr>
        <w:numPr>
          <w:ilvl w:val="0"/>
          <w:numId w:val="13"/>
        </w:numPr>
        <w:spacing w:line="276" w:lineRule="auto"/>
        <w:ind w:left="284" w:firstLine="281"/>
        <w:rPr>
          <w:rFonts w:ascii="宋体" w:hAnsi="宋体"/>
          <w:sz w:val="24"/>
        </w:rPr>
      </w:pPr>
      <w:r>
        <w:rPr>
          <w:rFonts w:hint="eastAsia" w:ascii="宋体" w:hAnsi="宋体"/>
          <w:sz w:val="24"/>
        </w:rPr>
        <w:t>根据本须知规定，投标应在规定的开标日后的（90）个日历日内保持有效。</w:t>
      </w:r>
    </w:p>
    <w:p>
      <w:pPr>
        <w:numPr>
          <w:ilvl w:val="0"/>
          <w:numId w:val="13"/>
        </w:numPr>
        <w:spacing w:line="276" w:lineRule="auto"/>
        <w:ind w:left="284" w:firstLine="281"/>
        <w:rPr>
          <w:rFonts w:ascii="宋体" w:hAnsi="宋体"/>
          <w:sz w:val="24"/>
        </w:rPr>
      </w:pPr>
      <w:r>
        <w:rPr>
          <w:rFonts w:hint="eastAsia" w:ascii="宋体" w:hAnsi="宋体"/>
          <w:sz w:val="24"/>
        </w:rPr>
        <w:t>特殊情况下，在原投标有效期截止之前，招标人可要求投标人同意延长投标有效期。这种要求与答复均应以书面形式提交。</w:t>
      </w:r>
    </w:p>
    <w:p>
      <w:pPr>
        <w:pStyle w:val="5"/>
        <w:rPr>
          <w:rFonts w:ascii="宋体" w:hAnsi="宋体"/>
          <w:szCs w:val="24"/>
        </w:rPr>
      </w:pPr>
      <w:bookmarkStart w:id="41" w:name="_Toc14351"/>
      <w:r>
        <w:rPr>
          <w:rFonts w:hint="eastAsia" w:ascii="宋体" w:hAnsi="宋体"/>
          <w:szCs w:val="24"/>
        </w:rPr>
        <w:t>投标文件的式样和签署</w:t>
      </w:r>
      <w:bookmarkEnd w:id="41"/>
    </w:p>
    <w:p>
      <w:pPr>
        <w:numPr>
          <w:ilvl w:val="0"/>
          <w:numId w:val="14"/>
        </w:numPr>
        <w:spacing w:line="276" w:lineRule="auto"/>
        <w:ind w:left="284" w:firstLine="281"/>
        <w:rPr>
          <w:rFonts w:ascii="宋体" w:hAnsi="宋体"/>
          <w:sz w:val="24"/>
        </w:rPr>
      </w:pPr>
      <w:r>
        <w:rPr>
          <w:rFonts w:hint="eastAsia" w:ascii="宋体" w:hAnsi="宋体"/>
          <w:sz w:val="24"/>
        </w:rPr>
        <w:t>投标人应准备投标文件正本一份和</w:t>
      </w:r>
      <w:r>
        <w:rPr>
          <w:rFonts w:hint="eastAsia" w:ascii="宋体" w:hAnsi="宋体"/>
          <w:sz w:val="24"/>
          <w:lang w:val="en-US" w:eastAsia="zh-CN"/>
        </w:rPr>
        <w:t>四</w:t>
      </w:r>
      <w:r>
        <w:rPr>
          <w:rFonts w:hint="eastAsia" w:ascii="宋体" w:hAnsi="宋体"/>
          <w:sz w:val="24"/>
        </w:rPr>
        <w:t>份副本，每套投标文件须清楚标明“正本”或“副本”。若正本和副本不符，以正本为准。</w:t>
      </w:r>
    </w:p>
    <w:p>
      <w:pPr>
        <w:numPr>
          <w:ilvl w:val="0"/>
          <w:numId w:val="14"/>
        </w:numPr>
        <w:spacing w:line="276" w:lineRule="auto"/>
        <w:ind w:left="284" w:firstLine="281"/>
        <w:rPr>
          <w:rFonts w:ascii="宋体" w:hAnsi="宋体"/>
          <w:sz w:val="24"/>
        </w:rPr>
      </w:pPr>
      <w:r>
        <w:rPr>
          <w:rFonts w:hint="eastAsia" w:ascii="宋体" w:hAnsi="宋体"/>
          <w:sz w:val="24"/>
        </w:rPr>
        <w:t>投标文件的正本需打印</w:t>
      </w:r>
      <w:r>
        <w:rPr>
          <w:rFonts w:ascii="宋体" w:hAnsi="宋体"/>
          <w:sz w:val="24"/>
        </w:rPr>
        <w:t xml:space="preserve"> </w:t>
      </w:r>
      <w:r>
        <w:rPr>
          <w:rFonts w:hint="eastAsia" w:ascii="宋体" w:hAnsi="宋体"/>
          <w:sz w:val="24"/>
        </w:rPr>
        <w:t>，并由投标人或经正式授权并对投标人有约束力的代表在投标文件上签字。授权代表须将以书面形式出具的“授权证书”附在投标文件中。除没有修改过的印刷文献外，投标文件的每一页都应加盖投标人骑缝章。投标文件的副本可采用正本的复印件。</w:t>
      </w:r>
    </w:p>
    <w:p>
      <w:pPr>
        <w:numPr>
          <w:ilvl w:val="0"/>
          <w:numId w:val="14"/>
        </w:numPr>
        <w:spacing w:line="276" w:lineRule="auto"/>
        <w:ind w:left="284" w:firstLine="281"/>
        <w:rPr>
          <w:rFonts w:ascii="宋体" w:hAnsi="宋体"/>
          <w:sz w:val="24"/>
        </w:rPr>
      </w:pPr>
      <w:r>
        <w:rPr>
          <w:rFonts w:hint="eastAsia" w:ascii="宋体" w:hAnsi="宋体"/>
          <w:sz w:val="24"/>
        </w:rPr>
        <w:t>任何行间插字、涂改和增删，必须由投标文件签字人用姓或首字母在旁边签字才有效。</w:t>
      </w:r>
    </w:p>
    <w:p>
      <w:pPr>
        <w:numPr>
          <w:ilvl w:val="0"/>
          <w:numId w:val="14"/>
        </w:numPr>
        <w:spacing w:line="276" w:lineRule="auto"/>
        <w:ind w:left="284" w:firstLine="281"/>
        <w:rPr>
          <w:rFonts w:ascii="宋体" w:hAnsi="宋体"/>
          <w:sz w:val="24"/>
        </w:rPr>
      </w:pPr>
      <w:r>
        <w:rPr>
          <w:rFonts w:hint="eastAsia" w:ascii="宋体" w:hAnsi="宋体"/>
          <w:sz w:val="24"/>
        </w:rPr>
        <w:t>电报、电话、传真形式的投标概不接受。</w:t>
      </w:r>
    </w:p>
    <w:p>
      <w:pPr>
        <w:pStyle w:val="4"/>
        <w:rPr>
          <w:sz w:val="24"/>
          <w:szCs w:val="24"/>
        </w:rPr>
      </w:pPr>
      <w:bookmarkStart w:id="42" w:name="_Toc5128"/>
      <w:r>
        <w:rPr>
          <w:rFonts w:hint="eastAsia"/>
          <w:sz w:val="24"/>
          <w:szCs w:val="24"/>
        </w:rPr>
        <w:t>投标文件的递交</w:t>
      </w:r>
      <w:bookmarkEnd w:id="42"/>
    </w:p>
    <w:p>
      <w:pPr>
        <w:pStyle w:val="5"/>
        <w:rPr>
          <w:rFonts w:ascii="宋体" w:hAnsi="宋体"/>
          <w:szCs w:val="24"/>
        </w:rPr>
      </w:pPr>
      <w:bookmarkStart w:id="43" w:name="_Toc4874"/>
      <w:r>
        <w:rPr>
          <w:rFonts w:hint="eastAsia" w:ascii="宋体" w:hAnsi="宋体"/>
          <w:szCs w:val="24"/>
        </w:rPr>
        <w:t>投标文件的密封和标记</w:t>
      </w:r>
      <w:bookmarkEnd w:id="43"/>
    </w:p>
    <w:p>
      <w:pPr>
        <w:numPr>
          <w:ilvl w:val="0"/>
          <w:numId w:val="15"/>
        </w:numPr>
        <w:spacing w:line="276" w:lineRule="auto"/>
        <w:ind w:left="284" w:firstLine="281"/>
        <w:rPr>
          <w:rFonts w:ascii="宋体" w:hAnsi="宋体"/>
          <w:bCs/>
          <w:sz w:val="24"/>
        </w:rPr>
      </w:pPr>
      <w:r>
        <w:rPr>
          <w:rFonts w:hint="eastAsia" w:ascii="宋体" w:hAnsi="宋体"/>
          <w:sz w:val="24"/>
        </w:rPr>
        <w:t>投标人应将投标文件正本和所有的副本分开密封装在单独的信封中，且在信封上标明“正本”“副本”字样。然后再将所有信封封装在一个外层信封中。投标文件密封封口处须加盖投标单位公章，否则其投标将被拒绝。</w:t>
      </w:r>
    </w:p>
    <w:p>
      <w:pPr>
        <w:numPr>
          <w:ilvl w:val="0"/>
          <w:numId w:val="15"/>
        </w:numPr>
        <w:spacing w:line="276" w:lineRule="auto"/>
        <w:ind w:left="284" w:firstLine="281"/>
        <w:rPr>
          <w:rFonts w:ascii="宋体" w:hAnsi="宋体"/>
          <w:sz w:val="24"/>
        </w:rPr>
      </w:pPr>
      <w:r>
        <w:rPr>
          <w:rFonts w:hint="eastAsia" w:ascii="宋体" w:hAnsi="宋体"/>
          <w:sz w:val="24"/>
        </w:rPr>
        <w:t>内外层信封均应：</w:t>
      </w:r>
    </w:p>
    <w:p>
      <w:pPr>
        <w:tabs>
          <w:tab w:val="left" w:pos="845"/>
          <w:tab w:val="left" w:pos="1125"/>
        </w:tabs>
        <w:spacing w:line="276" w:lineRule="auto"/>
        <w:ind w:left="870" w:leftChars="300" w:hanging="240" w:hangingChars="1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清楚标明递交至：深圳市龙华区环观南路高新技术产业开发区英飞拓园区</w:t>
      </w:r>
      <w:r>
        <w:rPr>
          <w:rFonts w:ascii="宋体" w:hAnsi="宋体"/>
          <w:sz w:val="24"/>
        </w:rPr>
        <w:t>5</w:t>
      </w:r>
      <w:r>
        <w:rPr>
          <w:rFonts w:hint="eastAsia" w:ascii="宋体" w:hAnsi="宋体"/>
          <w:sz w:val="24"/>
        </w:rPr>
        <w:t>楼</w:t>
      </w:r>
      <w:r>
        <w:rPr>
          <w:rFonts w:ascii="宋体" w:hAnsi="宋体"/>
          <w:sz w:val="24"/>
        </w:rPr>
        <w:t>1</w:t>
      </w:r>
      <w:r>
        <w:rPr>
          <w:rFonts w:hint="eastAsia" w:ascii="宋体" w:hAnsi="宋体"/>
          <w:sz w:val="24"/>
        </w:rPr>
        <w:t>1号会议室。</w:t>
      </w:r>
    </w:p>
    <w:p>
      <w:pPr>
        <w:tabs>
          <w:tab w:val="left" w:pos="845"/>
          <w:tab w:val="left" w:pos="1125"/>
        </w:tabs>
        <w:spacing w:line="276" w:lineRule="auto"/>
        <w:ind w:left="870" w:leftChars="300" w:hanging="240" w:hangingChars="1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注明招标编号：I</w:t>
      </w:r>
      <w:r>
        <w:rPr>
          <w:rFonts w:ascii="宋体" w:hAnsi="宋体"/>
          <w:sz w:val="24"/>
        </w:rPr>
        <w:t>NF-</w:t>
      </w:r>
      <w:r>
        <w:rPr>
          <w:rFonts w:hint="eastAsia" w:ascii="宋体" w:hAnsi="宋体"/>
          <w:sz w:val="24"/>
        </w:rPr>
        <w:t>ZXHB</w:t>
      </w:r>
      <w:r>
        <w:rPr>
          <w:rFonts w:ascii="宋体" w:hAnsi="宋体"/>
          <w:sz w:val="24"/>
        </w:rPr>
        <w:t>2021-00</w:t>
      </w:r>
      <w:r>
        <w:rPr>
          <w:rFonts w:hint="eastAsia" w:ascii="宋体" w:hAnsi="宋体"/>
          <w:sz w:val="24"/>
          <w:lang w:val="en-US" w:eastAsia="zh-CN"/>
        </w:rPr>
        <w:t>3</w:t>
      </w:r>
      <w:r>
        <w:rPr>
          <w:rFonts w:hint="eastAsia" w:ascii="宋体" w:hAnsi="宋体"/>
          <w:sz w:val="24"/>
        </w:rPr>
        <w:t xml:space="preserve"> 项目名称：</w:t>
      </w:r>
      <w:r>
        <w:rPr>
          <w:rFonts w:hint="eastAsia" w:ascii="宋体" w:hAnsi="宋体"/>
          <w:sz w:val="24"/>
          <w:u w:val="single"/>
        </w:rPr>
        <w:t>环保产业园生态环保专项顾问咨询服务项目</w:t>
      </w:r>
      <w:r>
        <w:rPr>
          <w:rFonts w:hint="eastAsia" w:ascii="宋体" w:hAnsi="宋体"/>
          <w:sz w:val="24"/>
        </w:rPr>
        <w:t>和“在</w:t>
      </w:r>
      <w:r>
        <w:rPr>
          <w:rFonts w:hint="eastAsia" w:ascii="宋体" w:hAnsi="宋体"/>
          <w:sz w:val="24"/>
          <w:highlight w:val="yellow"/>
        </w:rPr>
        <w:t>20</w:t>
      </w:r>
      <w:r>
        <w:rPr>
          <w:rFonts w:ascii="宋体" w:hAnsi="宋体"/>
          <w:sz w:val="24"/>
          <w:highlight w:val="yellow"/>
        </w:rPr>
        <w:t>21</w:t>
      </w:r>
      <w:r>
        <w:rPr>
          <w:rFonts w:hint="eastAsia" w:ascii="宋体" w:hAnsi="宋体"/>
          <w:sz w:val="24"/>
          <w:highlight w:val="yellow"/>
        </w:rPr>
        <w:t>年7月</w:t>
      </w:r>
      <w:r>
        <w:rPr>
          <w:rFonts w:hint="eastAsia" w:ascii="宋体" w:hAnsi="宋体"/>
          <w:sz w:val="24"/>
          <w:highlight w:val="yellow"/>
          <w:lang w:val="en-US" w:eastAsia="zh-CN"/>
        </w:rPr>
        <w:t>26</w:t>
      </w:r>
      <w:r>
        <w:rPr>
          <w:rFonts w:hint="eastAsia" w:ascii="宋体" w:hAnsi="宋体"/>
          <w:sz w:val="24"/>
          <w:highlight w:val="yellow"/>
        </w:rPr>
        <w:t>日1</w:t>
      </w:r>
      <w:r>
        <w:rPr>
          <w:rFonts w:hint="eastAsia" w:ascii="宋体" w:hAnsi="宋体"/>
          <w:sz w:val="24"/>
          <w:highlight w:val="yellow"/>
          <w:lang w:val="en-US" w:eastAsia="zh-CN"/>
        </w:rPr>
        <w:t>5</w:t>
      </w:r>
      <w:r>
        <w:rPr>
          <w:rFonts w:hint="eastAsia" w:ascii="宋体" w:hAnsi="宋体"/>
          <w:sz w:val="24"/>
          <w:highlight w:val="yellow"/>
        </w:rPr>
        <w:t>时30分整</w:t>
      </w:r>
      <w:r>
        <w:rPr>
          <w:rFonts w:hint="eastAsia" w:ascii="宋体" w:hAnsi="宋体"/>
          <w:sz w:val="24"/>
        </w:rPr>
        <w:t>（北京时间）之前不得启封”的字样。</w:t>
      </w:r>
    </w:p>
    <w:p>
      <w:pPr>
        <w:numPr>
          <w:ilvl w:val="0"/>
          <w:numId w:val="15"/>
        </w:numPr>
        <w:spacing w:line="276" w:lineRule="auto"/>
        <w:ind w:left="284" w:firstLine="281"/>
        <w:rPr>
          <w:rFonts w:ascii="宋体" w:hAnsi="宋体"/>
          <w:sz w:val="24"/>
        </w:rPr>
      </w:pPr>
      <w:r>
        <w:rPr>
          <w:rFonts w:hint="eastAsia" w:ascii="宋体" w:hAnsi="宋体"/>
          <w:sz w:val="24"/>
        </w:rPr>
        <w:t>内层信封应写明投标人名称和地址，以便若其投标被宣布为“迟到”投标时，能原封退回。</w:t>
      </w:r>
    </w:p>
    <w:p>
      <w:pPr>
        <w:numPr>
          <w:ilvl w:val="0"/>
          <w:numId w:val="15"/>
        </w:numPr>
        <w:spacing w:line="276" w:lineRule="auto"/>
        <w:ind w:left="284" w:firstLine="281"/>
        <w:rPr>
          <w:rFonts w:ascii="宋体" w:hAnsi="宋体"/>
          <w:sz w:val="24"/>
        </w:rPr>
      </w:pPr>
      <w:r>
        <w:rPr>
          <w:rFonts w:hint="eastAsia" w:ascii="宋体" w:hAnsi="宋体"/>
          <w:sz w:val="24"/>
        </w:rPr>
        <w:t>如果外层信封未按本须要求加写标记和密封，招标人对误投或过早启封概不负责。</w:t>
      </w:r>
    </w:p>
    <w:p>
      <w:pPr>
        <w:pStyle w:val="5"/>
        <w:rPr>
          <w:rFonts w:ascii="宋体" w:hAnsi="宋体"/>
          <w:szCs w:val="24"/>
        </w:rPr>
      </w:pPr>
      <w:bookmarkStart w:id="44" w:name="_Toc13425"/>
      <w:r>
        <w:rPr>
          <w:rFonts w:hint="eastAsia" w:ascii="宋体" w:hAnsi="宋体"/>
          <w:szCs w:val="24"/>
        </w:rPr>
        <w:t>投标截止期</w:t>
      </w:r>
      <w:bookmarkEnd w:id="44"/>
    </w:p>
    <w:p>
      <w:pPr>
        <w:numPr>
          <w:ilvl w:val="0"/>
          <w:numId w:val="16"/>
        </w:numPr>
        <w:spacing w:line="276" w:lineRule="auto"/>
        <w:ind w:left="284" w:firstLine="281"/>
        <w:rPr>
          <w:rFonts w:ascii="宋体" w:hAnsi="宋体"/>
          <w:sz w:val="24"/>
        </w:rPr>
      </w:pPr>
      <w:r>
        <w:rPr>
          <w:rFonts w:hint="eastAsia" w:ascii="宋体" w:hAnsi="宋体"/>
          <w:sz w:val="24"/>
        </w:rPr>
        <w:t>招标人在本须知3</w:t>
      </w:r>
      <w:r>
        <w:rPr>
          <w:rFonts w:ascii="宋体" w:hAnsi="宋体"/>
          <w:sz w:val="24"/>
        </w:rPr>
        <w:t>.4.1</w:t>
      </w:r>
      <w:r>
        <w:rPr>
          <w:rFonts w:hint="eastAsia" w:ascii="宋体" w:hAnsi="宋体"/>
          <w:sz w:val="24"/>
        </w:rPr>
        <w:t>规定的地址收到投标文件的时间不迟于投标截止时间</w:t>
      </w:r>
      <w:r>
        <w:rPr>
          <w:rFonts w:hint="eastAsia" w:ascii="宋体" w:hAnsi="宋体"/>
          <w:b/>
          <w:sz w:val="24"/>
          <w:highlight w:val="yellow"/>
        </w:rPr>
        <w:t>（20</w:t>
      </w:r>
      <w:r>
        <w:rPr>
          <w:rFonts w:ascii="宋体" w:hAnsi="宋体"/>
          <w:b/>
          <w:sz w:val="24"/>
          <w:highlight w:val="yellow"/>
        </w:rPr>
        <w:t>2</w:t>
      </w:r>
      <w:r>
        <w:rPr>
          <w:rFonts w:ascii="宋体" w:hAnsi="宋体"/>
          <w:sz w:val="24"/>
          <w:highlight w:val="yellow"/>
        </w:rPr>
        <w:t>1</w:t>
      </w:r>
      <w:r>
        <w:rPr>
          <w:rFonts w:hint="eastAsia" w:ascii="宋体" w:hAnsi="宋体"/>
          <w:sz w:val="24"/>
          <w:highlight w:val="yellow"/>
        </w:rPr>
        <w:t>年7月</w:t>
      </w:r>
      <w:r>
        <w:rPr>
          <w:rFonts w:hint="eastAsia" w:ascii="宋体" w:hAnsi="宋体"/>
          <w:sz w:val="24"/>
          <w:highlight w:val="yellow"/>
          <w:lang w:val="en-US" w:eastAsia="zh-CN"/>
        </w:rPr>
        <w:t>26</w:t>
      </w:r>
      <w:r>
        <w:rPr>
          <w:rFonts w:hint="eastAsia" w:ascii="宋体" w:hAnsi="宋体"/>
          <w:sz w:val="24"/>
          <w:highlight w:val="yellow"/>
        </w:rPr>
        <w:t>日1</w:t>
      </w:r>
      <w:r>
        <w:rPr>
          <w:rFonts w:hint="eastAsia" w:ascii="宋体" w:hAnsi="宋体"/>
          <w:sz w:val="24"/>
          <w:highlight w:val="yellow"/>
          <w:lang w:val="en-US" w:eastAsia="zh-CN"/>
        </w:rPr>
        <w:t>5</w:t>
      </w:r>
      <w:r>
        <w:rPr>
          <w:rFonts w:hint="eastAsia" w:ascii="宋体" w:hAnsi="宋体"/>
          <w:sz w:val="24"/>
          <w:highlight w:val="yellow"/>
        </w:rPr>
        <w:t>时30分整（北京时间））</w:t>
      </w:r>
      <w:r>
        <w:rPr>
          <w:rFonts w:hint="eastAsia" w:ascii="宋体" w:hAnsi="宋体"/>
          <w:sz w:val="24"/>
        </w:rPr>
        <w:t>。</w:t>
      </w:r>
    </w:p>
    <w:p>
      <w:pPr>
        <w:numPr>
          <w:ilvl w:val="0"/>
          <w:numId w:val="16"/>
        </w:numPr>
        <w:spacing w:line="276" w:lineRule="auto"/>
        <w:ind w:left="284" w:firstLine="281"/>
        <w:rPr>
          <w:rFonts w:ascii="宋体" w:hAnsi="宋体"/>
          <w:sz w:val="24"/>
        </w:rPr>
      </w:pPr>
      <w:r>
        <w:rPr>
          <w:rFonts w:hint="eastAsia" w:ascii="宋体" w:hAnsi="宋体"/>
          <w:sz w:val="24"/>
        </w:rPr>
        <w:t>招标人可以按本须知3</w:t>
      </w:r>
      <w:r>
        <w:rPr>
          <w:rFonts w:ascii="宋体" w:hAnsi="宋体"/>
          <w:sz w:val="24"/>
        </w:rPr>
        <w:t>.3.</w:t>
      </w:r>
      <w:r>
        <w:rPr>
          <w:rFonts w:hint="eastAsia" w:ascii="宋体" w:hAnsi="宋体"/>
          <w:sz w:val="24"/>
        </w:rPr>
        <w:t>6规定，通过修改招标文件自行决定酌情延长投标截止期。在此情况下，招标人和投标人受投标截止期制约的所有权利和义务均应延长至新的截止期。</w:t>
      </w:r>
    </w:p>
    <w:p>
      <w:pPr>
        <w:numPr>
          <w:ilvl w:val="0"/>
          <w:numId w:val="16"/>
        </w:numPr>
        <w:spacing w:line="276" w:lineRule="auto"/>
        <w:ind w:left="284" w:firstLine="281"/>
        <w:rPr>
          <w:rFonts w:ascii="宋体" w:hAnsi="宋体"/>
          <w:sz w:val="24"/>
          <w:highlight w:val="yellow"/>
        </w:rPr>
      </w:pPr>
      <w:r>
        <w:rPr>
          <w:rFonts w:hint="eastAsia" w:ascii="宋体" w:hAnsi="宋体"/>
          <w:sz w:val="24"/>
          <w:highlight w:val="yellow"/>
        </w:rPr>
        <w:t>招标人于20</w:t>
      </w:r>
      <w:r>
        <w:rPr>
          <w:rFonts w:ascii="宋体" w:hAnsi="宋体"/>
          <w:sz w:val="24"/>
          <w:highlight w:val="yellow"/>
        </w:rPr>
        <w:t>21</w:t>
      </w:r>
      <w:r>
        <w:rPr>
          <w:rFonts w:hint="eastAsia" w:ascii="宋体" w:hAnsi="宋体"/>
          <w:sz w:val="24"/>
          <w:highlight w:val="yellow"/>
        </w:rPr>
        <w:t>年7月</w:t>
      </w:r>
      <w:r>
        <w:rPr>
          <w:rFonts w:hint="eastAsia" w:ascii="宋体" w:hAnsi="宋体"/>
          <w:sz w:val="24"/>
          <w:highlight w:val="yellow"/>
          <w:lang w:val="en-US" w:eastAsia="zh-CN"/>
        </w:rPr>
        <w:t>26</w:t>
      </w:r>
      <w:r>
        <w:rPr>
          <w:rFonts w:hint="eastAsia" w:ascii="宋体" w:hAnsi="宋体"/>
          <w:sz w:val="24"/>
          <w:highlight w:val="yellow"/>
        </w:rPr>
        <w:t>日1</w:t>
      </w:r>
      <w:r>
        <w:rPr>
          <w:rFonts w:hint="eastAsia" w:ascii="宋体" w:hAnsi="宋体"/>
          <w:sz w:val="24"/>
          <w:highlight w:val="yellow"/>
          <w:lang w:val="en-US" w:eastAsia="zh-CN"/>
        </w:rPr>
        <w:t>4</w:t>
      </w:r>
      <w:r>
        <w:rPr>
          <w:rFonts w:ascii="宋体" w:hAnsi="宋体"/>
          <w:sz w:val="24"/>
          <w:highlight w:val="yellow"/>
        </w:rPr>
        <w:t>时</w:t>
      </w:r>
      <w:r>
        <w:rPr>
          <w:rFonts w:hint="eastAsia" w:ascii="宋体" w:hAnsi="宋体"/>
          <w:sz w:val="24"/>
          <w:highlight w:val="yellow"/>
          <w:lang w:val="en-US" w:eastAsia="zh-CN"/>
        </w:rPr>
        <w:t>0</w:t>
      </w:r>
      <w:r>
        <w:rPr>
          <w:rFonts w:hint="eastAsia" w:ascii="宋体" w:hAnsi="宋体"/>
          <w:sz w:val="24"/>
          <w:highlight w:val="yellow"/>
        </w:rPr>
        <w:t>0</w:t>
      </w:r>
      <w:r>
        <w:rPr>
          <w:rFonts w:ascii="宋体" w:hAnsi="宋体"/>
          <w:sz w:val="24"/>
          <w:highlight w:val="yellow"/>
        </w:rPr>
        <w:t>分</w:t>
      </w:r>
      <w:r>
        <w:rPr>
          <w:rFonts w:hint="eastAsia" w:ascii="宋体" w:hAnsi="宋体"/>
          <w:sz w:val="24"/>
          <w:highlight w:val="yellow"/>
        </w:rPr>
        <w:t>开始接收投标文件。</w:t>
      </w:r>
    </w:p>
    <w:p>
      <w:pPr>
        <w:pStyle w:val="5"/>
        <w:rPr>
          <w:rFonts w:ascii="宋体" w:hAnsi="宋体"/>
          <w:szCs w:val="24"/>
        </w:rPr>
      </w:pPr>
      <w:bookmarkStart w:id="45" w:name="_Toc12136"/>
      <w:r>
        <w:rPr>
          <w:rFonts w:hint="eastAsia" w:ascii="宋体" w:hAnsi="宋体"/>
          <w:szCs w:val="24"/>
        </w:rPr>
        <w:t>迟交的投标文件</w:t>
      </w:r>
      <w:bookmarkEnd w:id="45"/>
    </w:p>
    <w:p>
      <w:pPr>
        <w:spacing w:line="276" w:lineRule="auto"/>
        <w:ind w:left="284" w:firstLine="280" w:firstLineChars="117"/>
        <w:rPr>
          <w:rFonts w:ascii="宋体" w:hAnsi="宋体"/>
          <w:sz w:val="24"/>
        </w:rPr>
      </w:pPr>
      <w:r>
        <w:rPr>
          <w:rFonts w:hint="eastAsia" w:ascii="宋体" w:hAnsi="宋体"/>
          <w:sz w:val="24"/>
        </w:rPr>
        <w:t>招标人将拒绝并原封退回在本须知3</w:t>
      </w:r>
      <w:r>
        <w:rPr>
          <w:rFonts w:ascii="宋体" w:hAnsi="宋体"/>
          <w:sz w:val="24"/>
        </w:rPr>
        <w:t>.4.2</w:t>
      </w:r>
      <w:r>
        <w:rPr>
          <w:rFonts w:hint="eastAsia" w:ascii="宋体" w:hAnsi="宋体"/>
          <w:sz w:val="24"/>
        </w:rPr>
        <w:t>规定的投标截止期后收到的任何投标文件。</w:t>
      </w:r>
    </w:p>
    <w:p>
      <w:pPr>
        <w:pStyle w:val="5"/>
        <w:rPr>
          <w:rFonts w:ascii="宋体" w:hAnsi="宋体"/>
          <w:szCs w:val="24"/>
        </w:rPr>
      </w:pPr>
      <w:bookmarkStart w:id="46" w:name="_Toc12718"/>
      <w:r>
        <w:rPr>
          <w:rFonts w:hint="eastAsia" w:ascii="宋体" w:hAnsi="宋体"/>
          <w:szCs w:val="24"/>
        </w:rPr>
        <w:t>投标文件的修改与撤回</w:t>
      </w:r>
      <w:bookmarkEnd w:id="46"/>
    </w:p>
    <w:p>
      <w:pPr>
        <w:numPr>
          <w:ilvl w:val="0"/>
          <w:numId w:val="17"/>
        </w:numPr>
        <w:spacing w:line="276" w:lineRule="auto"/>
        <w:ind w:left="284" w:firstLine="281"/>
        <w:rPr>
          <w:rFonts w:ascii="宋体" w:hAnsi="宋体"/>
          <w:sz w:val="24"/>
        </w:rPr>
      </w:pPr>
      <w:r>
        <w:rPr>
          <w:rFonts w:hint="eastAsia" w:ascii="宋体" w:hAnsi="宋体"/>
          <w:sz w:val="24"/>
        </w:rPr>
        <w:t>投标人在递交投标文件后，可以修改或撤回其投标，但投标人必须在3</w:t>
      </w:r>
      <w:r>
        <w:rPr>
          <w:rFonts w:ascii="宋体" w:hAnsi="宋体"/>
          <w:sz w:val="24"/>
        </w:rPr>
        <w:t>.4.2</w:t>
      </w:r>
      <w:r>
        <w:rPr>
          <w:rFonts w:hint="eastAsia" w:ascii="宋体" w:hAnsi="宋体"/>
          <w:sz w:val="24"/>
        </w:rPr>
        <w:t>规定的投标截止期之前，将修改或撤回的书面通知递交到招标人。</w:t>
      </w:r>
    </w:p>
    <w:p>
      <w:pPr>
        <w:numPr>
          <w:ilvl w:val="0"/>
          <w:numId w:val="17"/>
        </w:numPr>
        <w:spacing w:line="276" w:lineRule="auto"/>
        <w:ind w:left="284" w:firstLine="281"/>
        <w:rPr>
          <w:rFonts w:ascii="宋体" w:hAnsi="宋体"/>
          <w:sz w:val="24"/>
        </w:rPr>
      </w:pPr>
      <w:r>
        <w:rPr>
          <w:rFonts w:hint="eastAsia" w:ascii="宋体" w:hAnsi="宋体"/>
          <w:sz w:val="24"/>
        </w:rPr>
        <w:t>投标人的修改或撤回通知应按本须知3</w:t>
      </w:r>
      <w:r>
        <w:rPr>
          <w:rFonts w:ascii="宋体" w:hAnsi="宋体"/>
          <w:sz w:val="24"/>
        </w:rPr>
        <w:t>.4.1</w:t>
      </w:r>
      <w:r>
        <w:rPr>
          <w:rFonts w:hint="eastAsia" w:ascii="宋体" w:hAnsi="宋体"/>
          <w:sz w:val="24"/>
        </w:rPr>
        <w:t>规定编制、密封、标记和递交。</w:t>
      </w:r>
    </w:p>
    <w:p>
      <w:pPr>
        <w:numPr>
          <w:ilvl w:val="0"/>
          <w:numId w:val="17"/>
        </w:numPr>
        <w:spacing w:line="276" w:lineRule="auto"/>
        <w:ind w:left="284" w:firstLine="281"/>
        <w:rPr>
          <w:rFonts w:ascii="宋体" w:hAnsi="宋体"/>
          <w:sz w:val="24"/>
        </w:rPr>
      </w:pPr>
      <w:r>
        <w:rPr>
          <w:rFonts w:hint="eastAsia" w:ascii="宋体" w:hAnsi="宋体"/>
          <w:sz w:val="24"/>
        </w:rPr>
        <w:t>在投标截止期之后，投标人不得对其投标做任何修改。</w:t>
      </w:r>
    </w:p>
    <w:p>
      <w:pPr>
        <w:numPr>
          <w:ilvl w:val="0"/>
          <w:numId w:val="17"/>
        </w:numPr>
        <w:spacing w:line="276" w:lineRule="auto"/>
        <w:ind w:left="284" w:firstLine="281"/>
        <w:rPr>
          <w:rFonts w:ascii="宋体" w:hAnsi="宋体"/>
          <w:sz w:val="24"/>
        </w:rPr>
      </w:pPr>
      <w:r>
        <w:rPr>
          <w:rFonts w:hint="eastAsia" w:ascii="宋体" w:hAnsi="宋体"/>
          <w:sz w:val="24"/>
        </w:rPr>
        <w:t>从投标截止期至投标人在投标书格式中确定的投标有效期期满这段时间内，投标人不得撤回其投标。</w:t>
      </w:r>
    </w:p>
    <w:p>
      <w:pPr>
        <w:pStyle w:val="5"/>
        <w:rPr>
          <w:rFonts w:ascii="宋体" w:hAnsi="宋体"/>
          <w:szCs w:val="24"/>
        </w:rPr>
      </w:pPr>
      <w:bookmarkStart w:id="47" w:name="_Toc24396"/>
      <w:r>
        <w:rPr>
          <w:rFonts w:hint="eastAsia" w:ascii="宋体" w:hAnsi="宋体"/>
          <w:szCs w:val="24"/>
        </w:rPr>
        <w:t>评标委员会</w:t>
      </w:r>
      <w:bookmarkEnd w:id="47"/>
    </w:p>
    <w:p>
      <w:pPr>
        <w:spacing w:line="276" w:lineRule="auto"/>
        <w:ind w:left="284" w:firstLine="280" w:firstLineChars="117"/>
        <w:rPr>
          <w:rFonts w:ascii="宋体" w:hAnsi="宋体"/>
          <w:sz w:val="24"/>
        </w:rPr>
      </w:pPr>
      <w:r>
        <w:rPr>
          <w:rFonts w:hint="eastAsia" w:ascii="宋体" w:hAnsi="宋体"/>
          <w:sz w:val="24"/>
        </w:rPr>
        <w:t>招标人</w:t>
      </w:r>
      <w:r>
        <w:rPr>
          <w:rFonts w:ascii="宋体" w:hAnsi="宋体"/>
          <w:sz w:val="24"/>
        </w:rPr>
        <w:t>依法组成评标委员会，评标委员会由招标人和有关技术、经济等方面的专家组成，成员人数为不少于5人以上单数，其中技术、经济等方面的专家不少于成员总数的三分之二。</w:t>
      </w:r>
    </w:p>
    <w:p>
      <w:pPr>
        <w:spacing w:line="276" w:lineRule="auto"/>
        <w:ind w:left="840"/>
        <w:rPr>
          <w:rFonts w:ascii="宋体" w:hAnsi="宋体"/>
          <w:sz w:val="24"/>
        </w:rPr>
      </w:pPr>
    </w:p>
    <w:p>
      <w:pPr>
        <w:pStyle w:val="4"/>
        <w:rPr>
          <w:sz w:val="24"/>
          <w:szCs w:val="24"/>
        </w:rPr>
      </w:pPr>
      <w:bookmarkStart w:id="48" w:name="_Toc20306"/>
      <w:r>
        <w:rPr>
          <w:rFonts w:hint="eastAsia"/>
          <w:sz w:val="24"/>
          <w:szCs w:val="24"/>
        </w:rPr>
        <w:t>开标与评标</w:t>
      </w:r>
      <w:bookmarkEnd w:id="48"/>
    </w:p>
    <w:p>
      <w:pPr>
        <w:pStyle w:val="5"/>
        <w:rPr>
          <w:rFonts w:ascii="宋体" w:hAnsi="宋体"/>
          <w:szCs w:val="24"/>
        </w:rPr>
      </w:pPr>
      <w:bookmarkStart w:id="49" w:name="_Toc4622"/>
      <w:r>
        <w:rPr>
          <w:rFonts w:hint="eastAsia" w:ascii="宋体" w:hAnsi="宋体"/>
          <w:szCs w:val="24"/>
        </w:rPr>
        <w:t>开标</w:t>
      </w:r>
      <w:bookmarkEnd w:id="49"/>
    </w:p>
    <w:p>
      <w:pPr>
        <w:numPr>
          <w:ilvl w:val="0"/>
          <w:numId w:val="18"/>
        </w:numPr>
        <w:spacing w:line="276" w:lineRule="auto"/>
        <w:ind w:left="284" w:firstLine="281"/>
        <w:rPr>
          <w:rFonts w:ascii="宋体" w:hAnsi="宋体"/>
          <w:sz w:val="24"/>
        </w:rPr>
      </w:pPr>
      <w:r>
        <w:rPr>
          <w:rFonts w:hint="eastAsia" w:ascii="宋体" w:hAnsi="宋体"/>
          <w:sz w:val="24"/>
        </w:rPr>
        <w:t>招标人在开标时间</w:t>
      </w:r>
      <w:r>
        <w:rPr>
          <w:rFonts w:hint="eastAsia" w:ascii="宋体" w:hAnsi="宋体"/>
          <w:bCs/>
          <w:sz w:val="24"/>
          <w:highlight w:val="yellow"/>
        </w:rPr>
        <w:t>（20</w:t>
      </w:r>
      <w:r>
        <w:rPr>
          <w:rFonts w:ascii="宋体" w:hAnsi="宋体"/>
          <w:bCs/>
          <w:sz w:val="24"/>
          <w:highlight w:val="yellow"/>
        </w:rPr>
        <w:t>21</w:t>
      </w:r>
      <w:r>
        <w:rPr>
          <w:rFonts w:hint="eastAsia" w:ascii="宋体" w:hAnsi="宋体"/>
          <w:bCs/>
          <w:sz w:val="24"/>
          <w:highlight w:val="yellow"/>
        </w:rPr>
        <w:t>年7月</w:t>
      </w:r>
      <w:r>
        <w:rPr>
          <w:rFonts w:hint="eastAsia" w:ascii="宋体" w:hAnsi="宋体"/>
          <w:bCs/>
          <w:sz w:val="24"/>
          <w:highlight w:val="yellow"/>
          <w:lang w:val="en-US" w:eastAsia="zh-CN"/>
        </w:rPr>
        <w:t>26</w:t>
      </w:r>
      <w:r>
        <w:rPr>
          <w:rFonts w:hint="eastAsia" w:ascii="宋体" w:hAnsi="宋体"/>
          <w:bCs/>
          <w:sz w:val="24"/>
          <w:highlight w:val="yellow"/>
        </w:rPr>
        <w:t>日1</w:t>
      </w:r>
      <w:r>
        <w:rPr>
          <w:rFonts w:hint="eastAsia" w:ascii="宋体" w:hAnsi="宋体"/>
          <w:bCs/>
          <w:sz w:val="24"/>
          <w:highlight w:val="yellow"/>
          <w:lang w:val="en-US" w:eastAsia="zh-CN"/>
        </w:rPr>
        <w:t>5</w:t>
      </w:r>
      <w:r>
        <w:rPr>
          <w:rFonts w:hint="eastAsia" w:ascii="宋体" w:hAnsi="宋体"/>
          <w:bCs/>
          <w:sz w:val="24"/>
          <w:highlight w:val="yellow"/>
        </w:rPr>
        <w:t>时30分整（北京时间））</w:t>
      </w:r>
      <w:r>
        <w:rPr>
          <w:rFonts w:hint="eastAsia" w:ascii="宋体" w:hAnsi="宋体"/>
          <w:sz w:val="24"/>
        </w:rPr>
        <w:t>于开标地点</w:t>
      </w:r>
      <w:r>
        <w:rPr>
          <w:rFonts w:hint="eastAsia" w:ascii="宋体" w:hAnsi="宋体"/>
          <w:b/>
          <w:sz w:val="24"/>
        </w:rPr>
        <w:t>（</w:t>
      </w:r>
      <w:r>
        <w:rPr>
          <w:rFonts w:hint="eastAsia" w:ascii="宋体" w:hAnsi="宋体"/>
          <w:sz w:val="24"/>
        </w:rPr>
        <w:t>深圳市龙华区环观南路高新技术产业开发区英飞拓园区</w:t>
      </w:r>
      <w:r>
        <w:rPr>
          <w:rFonts w:ascii="宋体" w:hAnsi="宋体"/>
          <w:sz w:val="24"/>
        </w:rPr>
        <w:t>5</w:t>
      </w:r>
      <w:r>
        <w:rPr>
          <w:rFonts w:hint="eastAsia" w:ascii="宋体" w:hAnsi="宋体"/>
          <w:sz w:val="24"/>
        </w:rPr>
        <w:t>楼</w:t>
      </w:r>
      <w:r>
        <w:rPr>
          <w:rFonts w:ascii="宋体" w:hAnsi="宋体"/>
          <w:sz w:val="24"/>
        </w:rPr>
        <w:t>1</w:t>
      </w:r>
      <w:r>
        <w:rPr>
          <w:rFonts w:hint="eastAsia" w:ascii="宋体" w:hAnsi="宋体"/>
          <w:sz w:val="24"/>
        </w:rPr>
        <w:t>1号会议室。</w:t>
      </w:r>
      <w:r>
        <w:rPr>
          <w:rFonts w:hint="eastAsia" w:ascii="宋体" w:hAnsi="宋体"/>
          <w:b/>
          <w:sz w:val="24"/>
        </w:rPr>
        <w:t>）</w:t>
      </w:r>
      <w:r>
        <w:rPr>
          <w:rFonts w:hint="eastAsia" w:ascii="宋体" w:hAnsi="宋体"/>
          <w:sz w:val="24"/>
        </w:rPr>
        <w:t>组织公开开标。开标时需有投标人代表参加。参加开标的代表应签名报到以证明其出席。</w:t>
      </w:r>
    </w:p>
    <w:p>
      <w:pPr>
        <w:numPr>
          <w:ilvl w:val="0"/>
          <w:numId w:val="18"/>
        </w:numPr>
        <w:spacing w:line="276" w:lineRule="auto"/>
        <w:ind w:left="284" w:firstLine="281"/>
        <w:rPr>
          <w:rFonts w:ascii="宋体" w:hAnsi="宋体"/>
          <w:sz w:val="24"/>
        </w:rPr>
      </w:pPr>
      <w:r>
        <w:rPr>
          <w:rFonts w:hint="eastAsia" w:ascii="宋体" w:hAnsi="宋体"/>
          <w:sz w:val="24"/>
        </w:rPr>
        <w:t>开标时，招标人当众宣读投标人名称、修改和撤回投标的通知、投标价格、折扣声明，以及招标人认为合适的其他内容。除了按照本须知3</w:t>
      </w:r>
      <w:r>
        <w:rPr>
          <w:rFonts w:ascii="宋体" w:hAnsi="宋体"/>
          <w:sz w:val="24"/>
        </w:rPr>
        <w:t>.4.3</w:t>
      </w:r>
      <w:r>
        <w:rPr>
          <w:rFonts w:hint="eastAsia" w:ascii="宋体" w:hAnsi="宋体"/>
          <w:sz w:val="24"/>
        </w:rPr>
        <w:t>的规定原封退回迟到的投标之外，开标时将不得拒绝任何投标。</w:t>
      </w:r>
    </w:p>
    <w:p>
      <w:pPr>
        <w:numPr>
          <w:ilvl w:val="0"/>
          <w:numId w:val="18"/>
        </w:numPr>
        <w:spacing w:line="276" w:lineRule="auto"/>
        <w:ind w:left="284" w:firstLine="281"/>
        <w:rPr>
          <w:rFonts w:ascii="宋体" w:hAnsi="宋体"/>
          <w:sz w:val="24"/>
        </w:rPr>
      </w:pPr>
      <w:r>
        <w:rPr>
          <w:rFonts w:hint="eastAsia" w:ascii="宋体" w:hAnsi="宋体"/>
          <w:sz w:val="24"/>
        </w:rPr>
        <w:t>在开标时没有启封和读出的投标文件（包括按照本须知3</w:t>
      </w:r>
      <w:r>
        <w:rPr>
          <w:rFonts w:ascii="宋体" w:hAnsi="宋体"/>
          <w:sz w:val="24"/>
        </w:rPr>
        <w:t>.4.4</w:t>
      </w:r>
      <w:r>
        <w:rPr>
          <w:rFonts w:hint="eastAsia" w:ascii="宋体" w:hAnsi="宋体"/>
          <w:sz w:val="24"/>
        </w:rPr>
        <w:t>递交的修改书），在评标时将不予考虑。没有启封和读出的投标文件将原封退回给投标人。</w:t>
      </w:r>
    </w:p>
    <w:p>
      <w:pPr>
        <w:numPr>
          <w:ilvl w:val="0"/>
          <w:numId w:val="18"/>
        </w:numPr>
        <w:spacing w:line="276" w:lineRule="auto"/>
        <w:ind w:left="284" w:firstLine="281"/>
        <w:rPr>
          <w:rFonts w:ascii="宋体" w:hAnsi="宋体"/>
          <w:sz w:val="24"/>
        </w:rPr>
      </w:pPr>
      <w:r>
        <w:rPr>
          <w:rFonts w:hint="eastAsia" w:ascii="宋体" w:hAnsi="宋体"/>
          <w:sz w:val="24"/>
        </w:rPr>
        <w:t>有效投标人少于3家时，招标人将重新组织招标。</w:t>
      </w:r>
    </w:p>
    <w:p>
      <w:pPr>
        <w:numPr>
          <w:ilvl w:val="0"/>
          <w:numId w:val="18"/>
        </w:numPr>
        <w:spacing w:line="276" w:lineRule="auto"/>
        <w:ind w:left="284" w:firstLine="281"/>
        <w:rPr>
          <w:rFonts w:ascii="宋体" w:hAnsi="宋体"/>
          <w:sz w:val="24"/>
        </w:rPr>
      </w:pPr>
      <w:r>
        <w:rPr>
          <w:rFonts w:hint="eastAsia" w:ascii="宋体" w:hAnsi="宋体"/>
          <w:sz w:val="24"/>
        </w:rPr>
        <w:t>招标人将做开标记录。</w:t>
      </w:r>
    </w:p>
    <w:p>
      <w:pPr>
        <w:pStyle w:val="5"/>
        <w:rPr>
          <w:rFonts w:ascii="宋体" w:hAnsi="宋体"/>
          <w:szCs w:val="24"/>
        </w:rPr>
      </w:pPr>
      <w:bookmarkStart w:id="50" w:name="_Toc22816"/>
      <w:r>
        <w:rPr>
          <w:rFonts w:hint="eastAsia" w:ascii="宋体" w:hAnsi="宋体"/>
          <w:szCs w:val="24"/>
        </w:rPr>
        <w:t>投标文件的澄清</w:t>
      </w:r>
      <w:bookmarkEnd w:id="50"/>
    </w:p>
    <w:p>
      <w:pPr>
        <w:spacing w:line="276" w:lineRule="auto"/>
        <w:ind w:left="284" w:firstLine="280" w:firstLineChars="117"/>
        <w:rPr>
          <w:rFonts w:ascii="宋体" w:hAnsi="宋体"/>
          <w:sz w:val="24"/>
        </w:rPr>
      </w:pPr>
      <w:r>
        <w:rPr>
          <w:rFonts w:hint="eastAsia" w:ascii="宋体" w:hAnsi="宋体"/>
          <w:sz w:val="24"/>
        </w:rPr>
        <w:t>在评标期间，评标委员会可要求投标人对其投标文件进行澄清，但不得寻求、提供或允许对投标价格等实质性内容做任何更改。有关澄清的答复应以书面形式提交。</w:t>
      </w:r>
    </w:p>
    <w:p>
      <w:pPr>
        <w:pStyle w:val="5"/>
        <w:rPr>
          <w:rFonts w:ascii="宋体" w:hAnsi="宋体"/>
          <w:szCs w:val="24"/>
        </w:rPr>
      </w:pPr>
      <w:bookmarkStart w:id="51" w:name="_Toc16137"/>
      <w:r>
        <w:rPr>
          <w:rFonts w:hint="eastAsia" w:ascii="宋体" w:hAnsi="宋体"/>
          <w:szCs w:val="24"/>
        </w:rPr>
        <w:t>投标文件的初审</w:t>
      </w:r>
      <w:bookmarkEnd w:id="51"/>
    </w:p>
    <w:p>
      <w:pPr>
        <w:numPr>
          <w:ilvl w:val="0"/>
          <w:numId w:val="19"/>
        </w:numPr>
        <w:spacing w:line="276" w:lineRule="auto"/>
        <w:ind w:left="284" w:firstLine="281"/>
        <w:rPr>
          <w:rFonts w:ascii="宋体" w:hAnsi="宋体"/>
          <w:b/>
          <w:bCs/>
          <w:sz w:val="24"/>
        </w:rPr>
      </w:pPr>
      <w:r>
        <w:rPr>
          <w:rFonts w:hint="eastAsia" w:ascii="宋体" w:hAnsi="宋体"/>
          <w:sz w:val="24"/>
        </w:rPr>
        <w:t>评标委员会将审查投标文件是否完整、总体编排是否有序、文件签署是否合格、有无计算上的错误等。</w:t>
      </w:r>
    </w:p>
    <w:p>
      <w:pPr>
        <w:numPr>
          <w:ilvl w:val="0"/>
          <w:numId w:val="19"/>
        </w:numPr>
        <w:spacing w:line="276" w:lineRule="auto"/>
        <w:ind w:left="284" w:firstLine="281"/>
        <w:rPr>
          <w:rFonts w:ascii="宋体" w:hAnsi="宋体"/>
          <w:sz w:val="24"/>
        </w:rPr>
      </w:pPr>
      <w:r>
        <w:rPr>
          <w:rFonts w:hint="eastAsia" w:ascii="宋体" w:hAnsi="宋体"/>
          <w:sz w:val="24"/>
        </w:rPr>
        <w:t>算术错误将按以下方法更正（次序排先者优先）：</w:t>
      </w:r>
    </w:p>
    <w:p>
      <w:pPr>
        <w:numPr>
          <w:ilvl w:val="0"/>
          <w:numId w:val="20"/>
        </w:numPr>
        <w:spacing w:line="276" w:lineRule="auto"/>
        <w:rPr>
          <w:rFonts w:ascii="宋体" w:hAnsi="宋体"/>
          <w:sz w:val="24"/>
        </w:rPr>
      </w:pPr>
      <w:r>
        <w:rPr>
          <w:rFonts w:hint="eastAsia" w:ascii="宋体" w:hAnsi="宋体"/>
          <w:sz w:val="24"/>
        </w:rPr>
        <w:t>若开标一览表中报价相矛盾，以投标总价为准；</w:t>
      </w:r>
    </w:p>
    <w:p>
      <w:pPr>
        <w:numPr>
          <w:ilvl w:val="0"/>
          <w:numId w:val="20"/>
        </w:numPr>
        <w:spacing w:line="276" w:lineRule="auto"/>
        <w:rPr>
          <w:rFonts w:ascii="宋体" w:hAnsi="宋体"/>
          <w:sz w:val="24"/>
        </w:rPr>
      </w:pPr>
      <w:r>
        <w:rPr>
          <w:rFonts w:hint="eastAsia" w:ascii="宋体" w:hAnsi="宋体"/>
          <w:sz w:val="24"/>
        </w:rPr>
        <w:t>若开标一览表中报价与投标价格表不一致，以开标一览表为准；</w:t>
      </w:r>
    </w:p>
    <w:p>
      <w:pPr>
        <w:numPr>
          <w:ilvl w:val="0"/>
          <w:numId w:val="20"/>
        </w:numPr>
        <w:spacing w:line="276" w:lineRule="auto"/>
        <w:rPr>
          <w:rFonts w:ascii="宋体" w:hAnsi="宋体"/>
          <w:sz w:val="24"/>
        </w:rPr>
      </w:pPr>
      <w:r>
        <w:rPr>
          <w:rFonts w:hint="eastAsia" w:ascii="宋体" w:hAnsi="宋体"/>
          <w:sz w:val="24"/>
        </w:rPr>
        <w:t>若投标价格表中分项报价与总价不一致，以总价为准；</w:t>
      </w:r>
    </w:p>
    <w:p>
      <w:pPr>
        <w:numPr>
          <w:ilvl w:val="0"/>
          <w:numId w:val="20"/>
        </w:numPr>
        <w:spacing w:line="276" w:lineRule="auto"/>
        <w:rPr>
          <w:rFonts w:ascii="宋体" w:hAnsi="宋体"/>
          <w:sz w:val="24"/>
        </w:rPr>
      </w:pPr>
      <w:r>
        <w:rPr>
          <w:rFonts w:hint="eastAsia" w:ascii="宋体" w:hAnsi="宋体"/>
          <w:sz w:val="24"/>
        </w:rPr>
        <w:t>若用文字表示的数值与用数字表示的数值不一致，以文字表示的数值为准。</w:t>
      </w:r>
    </w:p>
    <w:p>
      <w:pPr>
        <w:spacing w:line="276" w:lineRule="auto"/>
        <w:ind w:left="990"/>
        <w:rPr>
          <w:rFonts w:ascii="宋体" w:hAnsi="宋体"/>
          <w:b/>
          <w:bCs/>
          <w:sz w:val="24"/>
        </w:rPr>
      </w:pPr>
      <w:r>
        <w:rPr>
          <w:rFonts w:hint="eastAsia" w:ascii="宋体" w:hAnsi="宋体"/>
          <w:sz w:val="24"/>
        </w:rPr>
        <w:t>如果投标人不接受以上对其错误的更正，其投标将被拒绝。</w:t>
      </w:r>
    </w:p>
    <w:p>
      <w:pPr>
        <w:numPr>
          <w:ilvl w:val="0"/>
          <w:numId w:val="19"/>
        </w:numPr>
        <w:spacing w:line="276" w:lineRule="auto"/>
        <w:ind w:left="284" w:firstLine="281"/>
        <w:rPr>
          <w:rFonts w:ascii="宋体" w:hAnsi="宋体"/>
          <w:b/>
          <w:bCs/>
          <w:sz w:val="24"/>
        </w:rPr>
      </w:pPr>
      <w:r>
        <w:rPr>
          <w:rFonts w:hint="eastAsia" w:ascii="宋体" w:hAnsi="宋体"/>
          <w:sz w:val="24"/>
        </w:rPr>
        <w:t>对于投标文件中不构成实质性偏差的不正规、不一致或不规则，评标委员会可以接受，但这种接受不能损害或影响任何投标人的相对排序。</w:t>
      </w:r>
    </w:p>
    <w:p>
      <w:pPr>
        <w:numPr>
          <w:ilvl w:val="0"/>
          <w:numId w:val="19"/>
        </w:numPr>
        <w:spacing w:line="276" w:lineRule="auto"/>
        <w:ind w:left="284" w:firstLine="281"/>
        <w:rPr>
          <w:rFonts w:ascii="宋体" w:hAnsi="宋体"/>
          <w:b/>
          <w:bCs/>
          <w:sz w:val="24"/>
        </w:rPr>
      </w:pPr>
      <w:r>
        <w:rPr>
          <w:rFonts w:hint="eastAsia" w:ascii="宋体" w:hAnsi="宋体"/>
          <w:sz w:val="24"/>
        </w:rPr>
        <w:t>评标委员会将要审查每份投标文件是否实质上响应了招标文件的要求。实质上响应的投标应该是与招标文件要求的全部条款、条件和规格相符，没有重大偏离的投标。对关键条文的偏离、保留或反对，例如适用法律、税等内容的偏离将被认为是实质上的偏离。评标委员会决定投标的响应性只根据投标本身的内容，而不寻求外部的证据。</w:t>
      </w:r>
    </w:p>
    <w:p>
      <w:pPr>
        <w:numPr>
          <w:ilvl w:val="0"/>
          <w:numId w:val="19"/>
        </w:numPr>
        <w:spacing w:line="276" w:lineRule="auto"/>
        <w:ind w:left="284" w:firstLine="281"/>
        <w:rPr>
          <w:rFonts w:ascii="宋体" w:hAnsi="宋体"/>
          <w:b/>
          <w:bCs/>
          <w:sz w:val="24"/>
        </w:rPr>
      </w:pPr>
      <w:r>
        <w:rPr>
          <w:rFonts w:hint="eastAsia" w:ascii="宋体" w:hAnsi="宋体"/>
          <w:sz w:val="24"/>
        </w:rPr>
        <w:t>评标委员会将依据招标控制价金额作为授予合同价格的上限。</w:t>
      </w:r>
    </w:p>
    <w:p>
      <w:pPr>
        <w:numPr>
          <w:ilvl w:val="0"/>
          <w:numId w:val="19"/>
        </w:numPr>
        <w:spacing w:line="276" w:lineRule="auto"/>
        <w:ind w:left="284" w:firstLine="281"/>
        <w:rPr>
          <w:rFonts w:ascii="宋体" w:hAnsi="宋体"/>
          <w:sz w:val="24"/>
        </w:rPr>
      </w:pPr>
      <w:r>
        <w:rPr>
          <w:rFonts w:hint="eastAsia" w:ascii="宋体" w:hAnsi="宋体"/>
          <w:sz w:val="24"/>
        </w:rPr>
        <w:t>实质上没有响应招标文件要求的投标将被拒绝。投标人不得通过修正或撤消不合要求的偏离或保留从而使其投标成为实质上响应的投标。如发现下列情况之一的，其投标将被拒绝：</w:t>
      </w:r>
    </w:p>
    <w:p>
      <w:pPr>
        <w:numPr>
          <w:ilvl w:val="0"/>
          <w:numId w:val="21"/>
        </w:numPr>
        <w:spacing w:line="276" w:lineRule="auto"/>
        <w:rPr>
          <w:rFonts w:ascii="宋体" w:hAnsi="宋体"/>
          <w:sz w:val="24"/>
        </w:rPr>
      </w:pPr>
      <w:r>
        <w:rPr>
          <w:rFonts w:hint="eastAsia" w:ascii="宋体" w:hAnsi="宋体"/>
          <w:sz w:val="24"/>
        </w:rPr>
        <w:t>投标文件中要求法人代表签字和加盖公章的文件无法人代表签字或公章的，或签字人无法人代表有效委托的；</w:t>
      </w:r>
    </w:p>
    <w:p>
      <w:pPr>
        <w:numPr>
          <w:ilvl w:val="0"/>
          <w:numId w:val="21"/>
        </w:numPr>
        <w:spacing w:line="276" w:lineRule="auto"/>
        <w:rPr>
          <w:rFonts w:ascii="宋体" w:hAnsi="宋体"/>
          <w:sz w:val="24"/>
        </w:rPr>
      </w:pPr>
      <w:r>
        <w:rPr>
          <w:rFonts w:hint="eastAsia" w:ascii="宋体" w:hAnsi="宋体"/>
          <w:sz w:val="24"/>
        </w:rPr>
        <w:t>投标文件中存在明显不符合技术规格、技术标准的要求；</w:t>
      </w:r>
    </w:p>
    <w:p>
      <w:pPr>
        <w:numPr>
          <w:ilvl w:val="0"/>
          <w:numId w:val="21"/>
        </w:numPr>
        <w:spacing w:line="276" w:lineRule="auto"/>
        <w:rPr>
          <w:rFonts w:ascii="宋体" w:hAnsi="宋体"/>
          <w:sz w:val="24"/>
        </w:rPr>
      </w:pPr>
      <w:r>
        <w:rPr>
          <w:rFonts w:hint="eastAsia" w:ascii="宋体" w:hAnsi="宋体"/>
          <w:sz w:val="24"/>
        </w:rPr>
        <w:t>未按招标文件要求提交投标书，或投标书的内容与招标文件有明显不一致的；</w:t>
      </w:r>
    </w:p>
    <w:p>
      <w:pPr>
        <w:numPr>
          <w:ilvl w:val="0"/>
          <w:numId w:val="21"/>
        </w:numPr>
        <w:spacing w:line="276" w:lineRule="auto"/>
        <w:rPr>
          <w:rFonts w:ascii="宋体" w:hAnsi="宋体"/>
          <w:sz w:val="24"/>
        </w:rPr>
      </w:pPr>
      <w:r>
        <w:rPr>
          <w:rFonts w:hint="eastAsia" w:ascii="宋体" w:hAnsi="宋体"/>
          <w:sz w:val="24"/>
        </w:rPr>
        <w:t>投标报价高于项目预算或标底的；</w:t>
      </w:r>
    </w:p>
    <w:p>
      <w:pPr>
        <w:numPr>
          <w:ilvl w:val="0"/>
          <w:numId w:val="21"/>
        </w:numPr>
        <w:spacing w:line="276" w:lineRule="auto"/>
        <w:rPr>
          <w:rFonts w:ascii="宋体" w:hAnsi="宋体"/>
          <w:sz w:val="24"/>
        </w:rPr>
      </w:pPr>
      <w:r>
        <w:rPr>
          <w:rFonts w:hint="eastAsia" w:ascii="宋体" w:hAnsi="宋体"/>
          <w:sz w:val="24"/>
        </w:rPr>
        <w:t>资格证明文件不全的；</w:t>
      </w:r>
    </w:p>
    <w:p>
      <w:pPr>
        <w:numPr>
          <w:ilvl w:val="0"/>
          <w:numId w:val="21"/>
        </w:numPr>
        <w:spacing w:line="276" w:lineRule="auto"/>
        <w:rPr>
          <w:rFonts w:ascii="宋体" w:hAnsi="宋体"/>
          <w:sz w:val="24"/>
        </w:rPr>
      </w:pPr>
      <w:r>
        <w:rPr>
          <w:rFonts w:hint="eastAsia" w:ascii="宋体" w:hAnsi="宋体"/>
          <w:sz w:val="24"/>
        </w:rPr>
        <w:t>投标报价有严重缺漏项目的；</w:t>
      </w:r>
    </w:p>
    <w:p>
      <w:pPr>
        <w:numPr>
          <w:ilvl w:val="0"/>
          <w:numId w:val="21"/>
        </w:numPr>
        <w:spacing w:line="276" w:lineRule="auto"/>
        <w:rPr>
          <w:rFonts w:ascii="宋体" w:hAnsi="宋体"/>
          <w:sz w:val="24"/>
        </w:rPr>
      </w:pPr>
      <w:r>
        <w:rPr>
          <w:rFonts w:hint="eastAsia" w:ascii="宋体" w:hAnsi="宋体"/>
          <w:sz w:val="24"/>
        </w:rPr>
        <w:t>投标有效期不足的；</w:t>
      </w:r>
    </w:p>
    <w:p>
      <w:pPr>
        <w:numPr>
          <w:ilvl w:val="0"/>
          <w:numId w:val="21"/>
        </w:numPr>
        <w:spacing w:line="276" w:lineRule="auto"/>
        <w:rPr>
          <w:rFonts w:ascii="宋体" w:hAnsi="宋体"/>
          <w:sz w:val="24"/>
        </w:rPr>
      </w:pPr>
      <w:r>
        <w:rPr>
          <w:rFonts w:hint="eastAsia" w:ascii="宋体" w:hAnsi="宋体"/>
          <w:sz w:val="24"/>
        </w:rPr>
        <w:t>招标文件中列明的其他导致废标的条款。</w:t>
      </w:r>
    </w:p>
    <w:p>
      <w:pPr>
        <w:pStyle w:val="4"/>
        <w:rPr>
          <w:sz w:val="24"/>
          <w:szCs w:val="24"/>
        </w:rPr>
      </w:pPr>
      <w:bookmarkStart w:id="52" w:name="_Toc24864"/>
      <w:r>
        <w:rPr>
          <w:rFonts w:hint="eastAsia"/>
          <w:sz w:val="24"/>
          <w:szCs w:val="24"/>
        </w:rPr>
        <w:t>评标</w:t>
      </w:r>
      <w:bookmarkEnd w:id="52"/>
    </w:p>
    <w:p>
      <w:pPr>
        <w:spacing w:line="360" w:lineRule="auto"/>
        <w:ind w:left="284" w:firstLine="267" w:firstLineChars="111"/>
        <w:rPr>
          <w:rFonts w:ascii="宋体" w:hAnsi="宋体"/>
          <w:b/>
          <w:sz w:val="24"/>
        </w:rPr>
      </w:pPr>
      <w:r>
        <w:rPr>
          <w:rFonts w:hint="eastAsia" w:ascii="宋体" w:hAnsi="宋体"/>
          <w:b/>
          <w:sz w:val="24"/>
        </w:rPr>
        <w:t>经招标人确定：本项目授权评标委员会确定中标人。本项目的评标办法见以下规定：</w:t>
      </w:r>
    </w:p>
    <w:p>
      <w:pPr>
        <w:pStyle w:val="5"/>
        <w:rPr>
          <w:rFonts w:ascii="宋体" w:hAnsi="宋体"/>
          <w:szCs w:val="24"/>
        </w:rPr>
      </w:pPr>
      <w:bookmarkStart w:id="53" w:name="_Toc12246"/>
      <w:r>
        <w:rPr>
          <w:rFonts w:hint="eastAsia" w:ascii="宋体" w:hAnsi="宋体"/>
          <w:szCs w:val="24"/>
        </w:rPr>
        <w:t>评标方法：综合评审法</w:t>
      </w:r>
      <w:bookmarkEnd w:id="53"/>
    </w:p>
    <w:p>
      <w:pPr>
        <w:spacing w:after="60" w:line="360" w:lineRule="auto"/>
        <w:ind w:firstLine="480" w:firstLineChars="200"/>
        <w:rPr>
          <w:rFonts w:ascii="宋体" w:hAnsi="宋体"/>
          <w:sz w:val="24"/>
        </w:rPr>
      </w:pPr>
      <w:r>
        <w:rPr>
          <w:rFonts w:hint="eastAsia" w:ascii="宋体" w:hAnsi="宋体"/>
          <w:sz w:val="24"/>
        </w:rPr>
        <w:t>评标委员会将遵照公开、公平、公正的评标原则，严格按照招标文件的要求和条件进行评标，平等地对待所有投标人，本次招标采用一次报价一次评标定标的方式，择优定标，选出中标人。评标委员会将对投标书中的每个响应进行评价，检查其对招标书要求的符合程度并给出评分。综合各投标人商务、技术和违约承诺进行综合评估，产生综合评估分。综合评估分由高至低排名，按第一章招标公告中第6条确定的情况取排名在前的相应数量的投标人作为中标人。本招标项目评标中，若通过</w:t>
      </w:r>
      <w:r>
        <w:rPr>
          <w:rFonts w:ascii="宋体" w:hAnsi="宋体"/>
          <w:sz w:val="24"/>
        </w:rPr>
        <w:t>符合性检查</w:t>
      </w:r>
      <w:r>
        <w:rPr>
          <w:rFonts w:hint="eastAsia" w:ascii="宋体" w:hAnsi="宋体"/>
          <w:sz w:val="24"/>
        </w:rPr>
        <w:t>及不可偏离项检查的有效投标人少于3家时，则本项目招标不成功，招标人将重新组织招标。</w:t>
      </w:r>
    </w:p>
    <w:p>
      <w:pPr>
        <w:pStyle w:val="5"/>
        <w:rPr>
          <w:rFonts w:ascii="宋体" w:hAnsi="宋体"/>
          <w:szCs w:val="24"/>
        </w:rPr>
      </w:pPr>
      <w:bookmarkStart w:id="54" w:name="_Toc21361"/>
      <w:r>
        <w:rPr>
          <w:rFonts w:ascii="宋体" w:hAnsi="宋体"/>
          <w:szCs w:val="24"/>
        </w:rPr>
        <w:t>符合性检查</w:t>
      </w:r>
      <w:bookmarkEnd w:id="54"/>
    </w:p>
    <w:p>
      <w:pPr>
        <w:numPr>
          <w:ilvl w:val="0"/>
          <w:numId w:val="22"/>
        </w:numPr>
        <w:spacing w:line="276" w:lineRule="auto"/>
        <w:ind w:left="284" w:firstLine="281"/>
        <w:rPr>
          <w:rFonts w:ascii="宋体" w:hAnsi="宋体"/>
          <w:sz w:val="24"/>
        </w:rPr>
      </w:pPr>
      <w:r>
        <w:rPr>
          <w:rFonts w:ascii="宋体" w:hAnsi="宋体"/>
          <w:sz w:val="24"/>
        </w:rPr>
        <w:t>评委会根据招标文件《投标人须知》</w:t>
      </w:r>
      <w:r>
        <w:rPr>
          <w:rFonts w:hint="eastAsia" w:ascii="宋体" w:hAnsi="宋体"/>
          <w:sz w:val="24"/>
        </w:rPr>
        <w:t>3</w:t>
      </w:r>
      <w:r>
        <w:rPr>
          <w:rFonts w:ascii="宋体" w:hAnsi="宋体"/>
          <w:sz w:val="24"/>
        </w:rPr>
        <w:t>.6.2第3条《符合性检查表》的内容和标准，对所有投标进行符合性检查。</w:t>
      </w:r>
    </w:p>
    <w:p>
      <w:pPr>
        <w:numPr>
          <w:ilvl w:val="0"/>
          <w:numId w:val="22"/>
        </w:numPr>
        <w:spacing w:line="276" w:lineRule="auto"/>
        <w:ind w:left="284" w:firstLine="281"/>
        <w:rPr>
          <w:rFonts w:ascii="宋体" w:hAnsi="宋体"/>
          <w:sz w:val="24"/>
        </w:rPr>
      </w:pPr>
      <w:r>
        <w:rPr>
          <w:rFonts w:hint="eastAsia" w:ascii="宋体" w:hAnsi="宋体"/>
          <w:sz w:val="24"/>
        </w:rPr>
        <w:t>符合性检查的对象是投标人提交的投标文件，评委会只就投标文件中所载明的情况进行评审。</w:t>
      </w:r>
    </w:p>
    <w:p>
      <w:pPr>
        <w:numPr>
          <w:ilvl w:val="0"/>
          <w:numId w:val="22"/>
        </w:numPr>
        <w:spacing w:line="276" w:lineRule="auto"/>
        <w:ind w:left="284" w:firstLine="281"/>
        <w:rPr>
          <w:rFonts w:ascii="宋体" w:hAnsi="宋体"/>
          <w:sz w:val="24"/>
        </w:rPr>
      </w:pPr>
      <w:r>
        <w:rPr>
          <w:rFonts w:hint="eastAsia" w:ascii="宋体" w:hAnsi="宋体"/>
          <w:sz w:val="24"/>
        </w:rPr>
        <w:t>符合性检查的结果是“合格”或“不合格”，只有逐条通过《符合性检查表》各项检查的投标人能进入下一阶段的评标，否则将导致其投标被废标。</w:t>
      </w:r>
    </w:p>
    <w:p>
      <w:pPr>
        <w:spacing w:line="360" w:lineRule="auto"/>
        <w:jc w:val="center"/>
        <w:rPr>
          <w:rStyle w:val="60"/>
          <w:rFonts w:ascii="宋体" w:hAnsi="宋体"/>
          <w:b/>
          <w:bCs/>
          <w:sz w:val="24"/>
        </w:rPr>
      </w:pPr>
      <w:r>
        <w:rPr>
          <w:rStyle w:val="60"/>
          <w:rFonts w:ascii="宋体" w:hAnsi="宋体"/>
          <w:b/>
          <w:bCs/>
          <w:sz w:val="24"/>
        </w:rPr>
        <w:t>符合性检查</w:t>
      </w:r>
      <w:r>
        <w:rPr>
          <w:rStyle w:val="60"/>
          <w:rFonts w:hint="eastAsia" w:ascii="宋体" w:hAnsi="宋体"/>
          <w:b/>
          <w:bCs/>
          <w:sz w:val="24"/>
        </w:rPr>
        <w:t>表</w:t>
      </w:r>
    </w:p>
    <w:tbl>
      <w:tblPr>
        <w:tblStyle w:val="28"/>
        <w:tblW w:w="0" w:type="auto"/>
        <w:tblInd w:w="0" w:type="dxa"/>
        <w:tblLayout w:type="autofit"/>
        <w:tblCellMar>
          <w:top w:w="0" w:type="dxa"/>
          <w:left w:w="108" w:type="dxa"/>
          <w:bottom w:w="0" w:type="dxa"/>
          <w:right w:w="108" w:type="dxa"/>
        </w:tblCellMar>
      </w:tblPr>
      <w:tblGrid>
        <w:gridCol w:w="2373"/>
        <w:gridCol w:w="6155"/>
      </w:tblGrid>
      <w:tr>
        <w:tblPrEx>
          <w:tblCellMar>
            <w:top w:w="0" w:type="dxa"/>
            <w:left w:w="108" w:type="dxa"/>
            <w:bottom w:w="0" w:type="dxa"/>
            <w:right w:w="108" w:type="dxa"/>
          </w:tblCellMar>
        </w:tblPrEx>
        <w:tc>
          <w:tcPr>
            <w:tcW w:w="0" w:type="auto"/>
            <w:tcBorders>
              <w:top w:val="single" w:color="auto" w:sz="8" w:space="0"/>
              <w:left w:val="single" w:color="auto" w:sz="8" w:space="0"/>
              <w:bottom w:val="single" w:color="auto" w:sz="8" w:space="0"/>
              <w:right w:val="single" w:color="auto" w:sz="8" w:space="0"/>
            </w:tcBorders>
            <w:shd w:val="clear" w:color="000000" w:fill="EEEEEE"/>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评议项目</w:t>
            </w:r>
          </w:p>
        </w:tc>
        <w:tc>
          <w:tcPr>
            <w:tcW w:w="0" w:type="auto"/>
            <w:tcBorders>
              <w:top w:val="single" w:color="auto" w:sz="8" w:space="0"/>
              <w:left w:val="nil"/>
              <w:bottom w:val="single" w:color="auto" w:sz="8" w:space="0"/>
              <w:right w:val="single" w:color="auto" w:sz="8" w:space="0"/>
            </w:tcBorders>
            <w:shd w:val="clear" w:color="000000" w:fill="EEEEEE"/>
            <w:vAlign w:val="center"/>
          </w:tcPr>
          <w:p>
            <w:pPr>
              <w:widowControl/>
              <w:jc w:val="center"/>
              <w:rPr>
                <w:rFonts w:ascii="宋体" w:hAnsi="宋体" w:cs="宋体"/>
                <w:color w:val="000000"/>
                <w:kern w:val="0"/>
                <w:sz w:val="24"/>
              </w:rPr>
            </w:pPr>
            <w:r>
              <w:rPr>
                <w:rFonts w:hint="eastAsia" w:ascii="宋体" w:hAnsi="宋体" w:cs="宋体"/>
                <w:color w:val="000000"/>
                <w:kern w:val="0"/>
                <w:sz w:val="24"/>
              </w:rPr>
              <w:t>评议标准</w:t>
            </w:r>
          </w:p>
        </w:tc>
      </w:tr>
      <w:tr>
        <w:tblPrEx>
          <w:tblCellMar>
            <w:top w:w="0" w:type="dxa"/>
            <w:left w:w="108" w:type="dxa"/>
            <w:bottom w:w="0" w:type="dxa"/>
            <w:right w:w="108" w:type="dxa"/>
          </w:tblCellMar>
        </w:tblPrEx>
        <w:tc>
          <w:tcPr>
            <w:tcW w:w="0" w:type="auto"/>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法定代表人证明书/法人授权委托证明书</w:t>
            </w:r>
          </w:p>
        </w:tc>
        <w:tc>
          <w:tcPr>
            <w:tcW w:w="0" w:type="auto"/>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投标人必须提供由法人代表或其书面授权人签署并加盖投标人公章的《投标书》</w:t>
            </w:r>
          </w:p>
        </w:tc>
      </w:tr>
      <w:tr>
        <w:tblPrEx>
          <w:tblCellMar>
            <w:top w:w="0" w:type="dxa"/>
            <w:left w:w="108" w:type="dxa"/>
            <w:bottom w:w="0" w:type="dxa"/>
            <w:right w:w="108" w:type="dxa"/>
          </w:tblCellMar>
        </w:tblPrEx>
        <w:tc>
          <w:tcPr>
            <w:tcW w:w="0" w:type="auto"/>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投标书</w:t>
            </w:r>
          </w:p>
        </w:tc>
        <w:tc>
          <w:tcPr>
            <w:tcW w:w="0" w:type="auto"/>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投标文件不是由法人代表签署时，必须提供法人代表授权代表人签署投标文件和参与投标的书面授权书或委托书</w:t>
            </w:r>
          </w:p>
        </w:tc>
      </w:tr>
      <w:tr>
        <w:tblPrEx>
          <w:tblCellMar>
            <w:top w:w="0" w:type="dxa"/>
            <w:left w:w="108" w:type="dxa"/>
            <w:bottom w:w="0" w:type="dxa"/>
            <w:right w:w="108" w:type="dxa"/>
          </w:tblCellMar>
        </w:tblPrEx>
        <w:tc>
          <w:tcPr>
            <w:tcW w:w="0" w:type="auto"/>
            <w:tcBorders>
              <w:top w:val="nil"/>
              <w:left w:val="single" w:color="auto" w:sz="8" w:space="0"/>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投标资格</w:t>
            </w:r>
          </w:p>
        </w:tc>
        <w:tc>
          <w:tcPr>
            <w:tcW w:w="0" w:type="auto"/>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是否为符合本项目投标人资格条件并在招标人购买了招标文件的单位</w:t>
            </w:r>
          </w:p>
        </w:tc>
      </w:tr>
    </w:tbl>
    <w:p>
      <w:pPr>
        <w:pStyle w:val="5"/>
        <w:rPr>
          <w:rFonts w:ascii="宋体" w:hAnsi="宋体"/>
          <w:szCs w:val="24"/>
        </w:rPr>
      </w:pPr>
      <w:bookmarkStart w:id="55" w:name="_Toc27996"/>
      <w:r>
        <w:rPr>
          <w:rFonts w:hint="eastAsia" w:ascii="宋体" w:hAnsi="宋体"/>
          <w:szCs w:val="24"/>
        </w:rPr>
        <w:t>不可偏离项检查</w:t>
      </w:r>
      <w:bookmarkEnd w:id="55"/>
    </w:p>
    <w:p>
      <w:pPr>
        <w:numPr>
          <w:ilvl w:val="0"/>
          <w:numId w:val="23"/>
        </w:numPr>
        <w:spacing w:line="276" w:lineRule="auto"/>
        <w:ind w:left="284" w:firstLine="281"/>
        <w:rPr>
          <w:rFonts w:ascii="宋体" w:hAnsi="宋体"/>
          <w:sz w:val="24"/>
        </w:rPr>
      </w:pPr>
      <w:r>
        <w:rPr>
          <w:rFonts w:hint="eastAsia" w:ascii="宋体" w:hAnsi="宋体"/>
          <w:sz w:val="24"/>
        </w:rPr>
        <w:t>评委会将对照招标文件中的不可偏离条款和投标文件中的商务、技术条款响应进行评议。</w:t>
      </w:r>
    </w:p>
    <w:p>
      <w:pPr>
        <w:numPr>
          <w:ilvl w:val="0"/>
          <w:numId w:val="23"/>
        </w:numPr>
        <w:spacing w:line="276" w:lineRule="auto"/>
        <w:ind w:left="284" w:firstLine="281"/>
        <w:rPr>
          <w:rFonts w:ascii="宋体" w:hAnsi="宋体" w:cs="Arial"/>
          <w:sz w:val="24"/>
        </w:rPr>
      </w:pPr>
      <w:r>
        <w:rPr>
          <w:rFonts w:hint="eastAsia" w:ascii="宋体" w:hAnsi="宋体"/>
          <w:sz w:val="24"/>
        </w:rPr>
        <w:t>不可偏离项检查的结果是“合格”或“不合格”，只有逐条通过不可偏离项检查的投标人能进入下一阶段的评标，否则将导致其投标被废标。</w:t>
      </w:r>
    </w:p>
    <w:p>
      <w:pPr>
        <w:pStyle w:val="5"/>
        <w:rPr>
          <w:rFonts w:ascii="宋体" w:hAnsi="宋体"/>
          <w:szCs w:val="24"/>
        </w:rPr>
      </w:pPr>
      <w:bookmarkStart w:id="56" w:name="_Toc13719"/>
      <w:r>
        <w:rPr>
          <w:rFonts w:ascii="宋体" w:hAnsi="宋体"/>
          <w:szCs w:val="24"/>
        </w:rPr>
        <w:t>价格评议</w:t>
      </w:r>
      <w:bookmarkEnd w:id="56"/>
    </w:p>
    <w:p>
      <w:pPr>
        <w:spacing w:line="276" w:lineRule="auto"/>
        <w:ind w:left="565"/>
        <w:rPr>
          <w:rFonts w:ascii="宋体" w:hAnsi="宋体"/>
          <w:sz w:val="24"/>
        </w:rPr>
      </w:pPr>
      <w:r>
        <w:rPr>
          <w:rFonts w:ascii="宋体" w:hAnsi="宋体" w:cs="Arial"/>
          <w:sz w:val="24"/>
        </w:rPr>
        <w:t>只对通过符合性检查</w:t>
      </w:r>
      <w:r>
        <w:rPr>
          <w:rFonts w:hint="eastAsia" w:ascii="宋体" w:hAnsi="宋体" w:cs="Arial"/>
          <w:sz w:val="24"/>
        </w:rPr>
        <w:t>和</w:t>
      </w:r>
      <w:r>
        <w:rPr>
          <w:rFonts w:hint="eastAsia" w:ascii="宋体" w:hAnsi="宋体"/>
          <w:sz w:val="24"/>
        </w:rPr>
        <w:t>不可偏离项检查</w:t>
      </w:r>
      <w:r>
        <w:rPr>
          <w:rFonts w:ascii="宋体" w:hAnsi="宋体" w:cs="Arial"/>
          <w:sz w:val="24"/>
        </w:rPr>
        <w:t>的投标人进行价格评议。</w:t>
      </w:r>
    </w:p>
    <w:p>
      <w:pPr>
        <w:pStyle w:val="5"/>
        <w:rPr>
          <w:rFonts w:ascii="宋体" w:hAnsi="宋体"/>
          <w:szCs w:val="24"/>
        </w:rPr>
      </w:pPr>
      <w:bookmarkStart w:id="57" w:name="_Toc28253"/>
      <w:r>
        <w:rPr>
          <w:rFonts w:hint="eastAsia" w:ascii="宋体" w:hAnsi="宋体"/>
          <w:szCs w:val="24"/>
        </w:rPr>
        <w:t>商务</w:t>
      </w:r>
      <w:r>
        <w:rPr>
          <w:rFonts w:ascii="宋体" w:hAnsi="宋体"/>
          <w:szCs w:val="24"/>
        </w:rPr>
        <w:t>技术评议</w:t>
      </w:r>
      <w:bookmarkEnd w:id="57"/>
    </w:p>
    <w:p>
      <w:pPr>
        <w:numPr>
          <w:ilvl w:val="0"/>
          <w:numId w:val="24"/>
        </w:numPr>
        <w:spacing w:line="276" w:lineRule="auto"/>
        <w:ind w:left="284" w:firstLine="281"/>
        <w:rPr>
          <w:rFonts w:ascii="宋体" w:hAnsi="宋体" w:cs="Arial"/>
          <w:sz w:val="24"/>
        </w:rPr>
      </w:pPr>
      <w:r>
        <w:rPr>
          <w:rFonts w:hint="eastAsia" w:ascii="宋体" w:hAnsi="宋体"/>
          <w:sz w:val="24"/>
        </w:rPr>
        <w:t>评委会根据招标文件《投标人须知》3</w:t>
      </w:r>
      <w:r>
        <w:rPr>
          <w:rFonts w:ascii="宋体" w:hAnsi="宋体"/>
          <w:sz w:val="24"/>
        </w:rPr>
        <w:t>.6.5</w:t>
      </w:r>
      <w:r>
        <w:rPr>
          <w:rFonts w:hint="eastAsia" w:ascii="宋体" w:hAnsi="宋体"/>
          <w:sz w:val="24"/>
        </w:rPr>
        <w:t>第3条的内容和标准，对通过不可偏离项检查的投标进行商务评议和技术评议。评委会将对照招标文件中的商务、技术需求条款和投标文件中的商务、技术条款响应进行打分。每位投标人的得分由评委评分进行算术平均来计算。</w:t>
      </w:r>
    </w:p>
    <w:p>
      <w:pPr>
        <w:numPr>
          <w:ilvl w:val="0"/>
          <w:numId w:val="24"/>
        </w:numPr>
        <w:spacing w:line="276" w:lineRule="auto"/>
        <w:ind w:left="284" w:firstLine="281"/>
        <w:rPr>
          <w:rFonts w:ascii="宋体" w:hAnsi="宋体" w:cs="Arial"/>
          <w:sz w:val="24"/>
        </w:rPr>
      </w:pPr>
      <w:r>
        <w:rPr>
          <w:rFonts w:ascii="宋体" w:hAnsi="宋体" w:cs="Arial"/>
          <w:sz w:val="24"/>
        </w:rPr>
        <w:t>评标</w:t>
      </w:r>
      <w:r>
        <w:rPr>
          <w:rFonts w:ascii="宋体" w:hAnsi="宋体"/>
          <w:sz w:val="24"/>
        </w:rPr>
        <w:t>委员会</w:t>
      </w:r>
      <w:r>
        <w:rPr>
          <w:rFonts w:ascii="宋体" w:hAnsi="宋体" w:cs="Arial"/>
          <w:sz w:val="24"/>
        </w:rPr>
        <w:t>将根据投标人提供的技术规格及参数技术偏离表、及其他技术资料对照标书进行评议。</w:t>
      </w:r>
    </w:p>
    <w:p>
      <w:pPr>
        <w:numPr>
          <w:ilvl w:val="0"/>
          <w:numId w:val="24"/>
        </w:numPr>
        <w:spacing w:line="276" w:lineRule="auto"/>
        <w:ind w:left="284" w:firstLine="281"/>
        <w:rPr>
          <w:rFonts w:ascii="宋体" w:hAnsi="宋体" w:cs="Arial"/>
          <w:b/>
          <w:sz w:val="24"/>
        </w:rPr>
      </w:pPr>
      <w:r>
        <w:rPr>
          <w:rFonts w:hint="eastAsia" w:ascii="宋体" w:hAnsi="宋体"/>
          <w:b/>
          <w:sz w:val="24"/>
        </w:rPr>
        <w:t>综合评分=商务分（10分）</w:t>
      </w:r>
      <w:r>
        <w:rPr>
          <w:rFonts w:ascii="宋体" w:hAnsi="宋体"/>
          <w:b/>
          <w:sz w:val="24"/>
        </w:rPr>
        <w:t>+</w:t>
      </w:r>
      <w:r>
        <w:rPr>
          <w:rFonts w:hint="eastAsia" w:ascii="宋体" w:hAnsi="宋体"/>
          <w:b/>
          <w:sz w:val="24"/>
        </w:rPr>
        <w:t>技术分（55）+价格分（35）。</w:t>
      </w:r>
    </w:p>
    <w:p>
      <w:pPr>
        <w:numPr>
          <w:ilvl w:val="0"/>
          <w:numId w:val="24"/>
        </w:numPr>
        <w:spacing w:line="276" w:lineRule="auto"/>
        <w:ind w:left="284" w:firstLine="281"/>
        <w:rPr>
          <w:rFonts w:ascii="宋体" w:hAnsi="宋体" w:cs="宋体"/>
          <w:kern w:val="0"/>
          <w:sz w:val="24"/>
        </w:rPr>
      </w:pPr>
      <w:r>
        <w:rPr>
          <w:rFonts w:hint="eastAsia" w:ascii="宋体" w:hAnsi="宋体"/>
          <w:snapToGrid w:val="0"/>
          <w:kern w:val="0"/>
          <w:sz w:val="24"/>
        </w:rPr>
        <w:t>评委会在评标时，应按照以下评审因素，对各投标文件进行分析和比较：</w:t>
      </w:r>
    </w:p>
    <w:p>
      <w:pPr>
        <w:pStyle w:val="4"/>
        <w:rPr>
          <w:sz w:val="24"/>
          <w:szCs w:val="24"/>
        </w:rPr>
      </w:pPr>
      <w:bookmarkStart w:id="58" w:name="_Toc21851"/>
      <w:r>
        <w:rPr>
          <w:rFonts w:hint="eastAsia"/>
          <w:sz w:val="24"/>
          <w:szCs w:val="24"/>
        </w:rPr>
        <w:t>综合评分表（评分细则）</w:t>
      </w:r>
      <w:bookmarkEnd w:id="58"/>
    </w:p>
    <w:tbl>
      <w:tblPr>
        <w:tblStyle w:val="28"/>
        <w:tblW w:w="50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152"/>
        <w:gridCol w:w="4579"/>
        <w:gridCol w:w="1240"/>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5" w:type="pct"/>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评审内容</w:t>
            </w:r>
          </w:p>
        </w:tc>
        <w:tc>
          <w:tcPr>
            <w:tcW w:w="667" w:type="pct"/>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评分因素</w:t>
            </w:r>
          </w:p>
          <w:p>
            <w:pPr>
              <w:widowControl/>
              <w:jc w:val="center"/>
              <w:rPr>
                <w:rFonts w:ascii="宋体" w:hAnsi="宋体" w:cs="宋体"/>
                <w:b/>
                <w:color w:val="000000"/>
                <w:kern w:val="0"/>
                <w:szCs w:val="21"/>
              </w:rPr>
            </w:pPr>
            <w:r>
              <w:rPr>
                <w:rFonts w:hint="eastAsia" w:ascii="宋体" w:hAnsi="宋体" w:cs="宋体"/>
                <w:b/>
                <w:color w:val="000000"/>
                <w:kern w:val="0"/>
                <w:szCs w:val="21"/>
              </w:rPr>
              <w:t>及分值</w:t>
            </w:r>
          </w:p>
        </w:tc>
        <w:tc>
          <w:tcPr>
            <w:tcW w:w="2651" w:type="pct"/>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评分细则</w:t>
            </w:r>
          </w:p>
        </w:tc>
        <w:tc>
          <w:tcPr>
            <w:tcW w:w="718" w:type="pct"/>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评委评分</w:t>
            </w:r>
          </w:p>
        </w:tc>
        <w:tc>
          <w:tcPr>
            <w:tcW w:w="247" w:type="pct"/>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pct"/>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商务分</w:t>
            </w:r>
          </w:p>
          <w:p>
            <w:pPr>
              <w:widowControl/>
              <w:jc w:val="center"/>
              <w:rPr>
                <w:rFonts w:ascii="宋体" w:hAnsi="宋体" w:cs="宋体"/>
                <w:bCs/>
                <w:color w:val="000000"/>
                <w:kern w:val="0"/>
                <w:szCs w:val="21"/>
              </w:rPr>
            </w:pPr>
            <w:r>
              <w:rPr>
                <w:rFonts w:hint="eastAsia" w:ascii="宋体" w:hAnsi="宋体" w:cs="宋体"/>
                <w:bCs/>
                <w:color w:val="000000"/>
                <w:kern w:val="0"/>
                <w:szCs w:val="21"/>
              </w:rPr>
              <w:t>（10分）</w:t>
            </w:r>
          </w:p>
        </w:tc>
        <w:tc>
          <w:tcPr>
            <w:tcW w:w="667" w:type="pct"/>
            <w:vAlign w:val="center"/>
          </w:tcPr>
          <w:p>
            <w:pPr>
              <w:jc w:val="center"/>
              <w:rPr>
                <w:rFonts w:ascii="宋体" w:hAnsi="宋体"/>
                <w:bCs/>
                <w:color w:val="000000"/>
                <w:szCs w:val="21"/>
              </w:rPr>
            </w:pPr>
            <w:r>
              <w:rPr>
                <w:rFonts w:hint="eastAsia" w:ascii="宋体" w:hAnsi="宋体"/>
                <w:bCs/>
                <w:color w:val="000000"/>
                <w:szCs w:val="21"/>
              </w:rPr>
              <w:t>投标人专业资格及能力</w:t>
            </w:r>
          </w:p>
          <w:p>
            <w:pPr>
              <w:jc w:val="center"/>
              <w:rPr>
                <w:rFonts w:ascii="宋体" w:hAnsi="宋体"/>
                <w:bCs/>
                <w:color w:val="000000"/>
                <w:szCs w:val="21"/>
              </w:rPr>
            </w:pPr>
            <w:r>
              <w:rPr>
                <w:rFonts w:hint="eastAsia" w:ascii="宋体" w:hAnsi="宋体"/>
                <w:bCs/>
                <w:color w:val="000000"/>
                <w:szCs w:val="21"/>
              </w:rPr>
              <w:t>（6分）</w:t>
            </w:r>
          </w:p>
        </w:tc>
        <w:tc>
          <w:tcPr>
            <w:tcW w:w="2651" w:type="pct"/>
            <w:vAlign w:val="center"/>
          </w:tcPr>
          <w:p>
            <w:pPr>
              <w:rPr>
                <w:highlight w:val="none"/>
              </w:rPr>
            </w:pPr>
            <w:r>
              <w:rPr>
                <w:rFonts w:hint="eastAsia"/>
                <w:highlight w:val="none"/>
              </w:rPr>
              <w:t>提供环保、能源、</w:t>
            </w:r>
            <w:r>
              <w:rPr>
                <w:rFonts w:hint="eastAsia"/>
                <w:highlight w:val="none"/>
                <w:lang w:val="en-US" w:eastAsia="zh-CN"/>
              </w:rPr>
              <w:t>水务、</w:t>
            </w:r>
            <w:r>
              <w:rPr>
                <w:rFonts w:hint="eastAsia"/>
                <w:highlight w:val="none"/>
              </w:rPr>
              <w:t>及智慧园区规划</w:t>
            </w:r>
            <w:r>
              <w:rPr>
                <w:rFonts w:hint="eastAsia"/>
                <w:highlight w:val="none"/>
                <w:lang w:val="en-US" w:eastAsia="zh-CN"/>
              </w:rPr>
              <w:t>计划</w:t>
            </w:r>
            <w:r>
              <w:rPr>
                <w:rFonts w:hint="eastAsia"/>
                <w:highlight w:val="none"/>
              </w:rPr>
              <w:t>有关的能力证明</w:t>
            </w:r>
            <w:r>
              <w:rPr>
                <w:rFonts w:hint="eastAsia"/>
                <w:highlight w:val="none"/>
                <w:lang w:eastAsia="zh-CN"/>
              </w:rPr>
              <w:t>（</w:t>
            </w:r>
            <w:r>
              <w:rPr>
                <w:rFonts w:hint="eastAsia"/>
                <w:highlight w:val="none"/>
                <w:lang w:val="en-US" w:eastAsia="zh-CN"/>
              </w:rPr>
              <w:t>或本项目拟安排专家、项目主要成员的相关项目案例）</w:t>
            </w:r>
            <w:r>
              <w:rPr>
                <w:rFonts w:hint="eastAsia"/>
                <w:highlight w:val="none"/>
              </w:rPr>
              <w:t>，每提供一项得</w:t>
            </w:r>
            <w:r>
              <w:rPr>
                <w:rFonts w:hint="eastAsia"/>
                <w:highlight w:val="none"/>
                <w:lang w:val="en-US" w:eastAsia="zh-CN"/>
              </w:rPr>
              <w:t>3</w:t>
            </w:r>
            <w:r>
              <w:rPr>
                <w:rFonts w:hint="eastAsia"/>
                <w:highlight w:val="none"/>
              </w:rPr>
              <w:t>分，最高6分。</w:t>
            </w:r>
          </w:p>
          <w:p>
            <w:pPr>
              <w:rPr>
                <w:rFonts w:ascii="宋体" w:hAnsi="宋体"/>
                <w:bCs/>
                <w:color w:val="000000"/>
                <w:szCs w:val="21"/>
              </w:rPr>
            </w:pPr>
            <w:r>
              <w:rPr>
                <w:rFonts w:hint="eastAsia"/>
                <w:b/>
                <w:bCs/>
                <w:highlight w:val="none"/>
              </w:rPr>
              <w:t>证明材料：相关证书，或有关</w:t>
            </w:r>
            <w:r>
              <w:rPr>
                <w:rFonts w:hint="eastAsia"/>
                <w:b/>
                <w:bCs/>
                <w:highlight w:val="none"/>
                <w:lang w:val="en-US" w:eastAsia="zh-CN"/>
              </w:rPr>
              <w:t>项目案例</w:t>
            </w:r>
            <w:r>
              <w:rPr>
                <w:rFonts w:hint="eastAsia"/>
                <w:b/>
                <w:bCs/>
                <w:highlight w:val="none"/>
              </w:rPr>
              <w:t>证明，未提供或无法判断的不得分。</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15" w:type="pct"/>
            <w:vMerge w:val="continue"/>
            <w:vAlign w:val="center"/>
          </w:tcPr>
          <w:p>
            <w:pPr>
              <w:widowControl/>
              <w:jc w:val="center"/>
              <w:rPr>
                <w:rFonts w:ascii="宋体" w:hAnsi="宋体" w:cs="宋体"/>
                <w:bCs/>
                <w:color w:val="000000"/>
                <w:kern w:val="0"/>
                <w:szCs w:val="21"/>
              </w:rPr>
            </w:pPr>
          </w:p>
        </w:tc>
        <w:tc>
          <w:tcPr>
            <w:tcW w:w="667" w:type="pc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服务网点（4分）</w:t>
            </w:r>
          </w:p>
        </w:tc>
        <w:tc>
          <w:tcPr>
            <w:tcW w:w="2651" w:type="pct"/>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szCs w:val="21"/>
              </w:rPr>
            </w:pPr>
            <w:r>
              <w:rPr>
                <w:rFonts w:hint="eastAsia"/>
                <w:szCs w:val="21"/>
              </w:rPr>
              <w:t>投标人为深圳市注册企业得</w:t>
            </w:r>
            <w:r>
              <w:rPr>
                <w:rFonts w:hint="eastAsia" w:ascii="宋体" w:hAnsi="宋体" w:cs="宋体"/>
              </w:rPr>
              <w:t>4分</w:t>
            </w:r>
            <w:r>
              <w:rPr>
                <w:rFonts w:hint="eastAsia"/>
                <w:szCs w:val="21"/>
              </w:rPr>
              <w:t>；投标人为广东省内注册企业得</w:t>
            </w:r>
            <w:r>
              <w:rPr>
                <w:rFonts w:hint="eastAsia" w:asciiTheme="majorEastAsia" w:hAnsiTheme="majorEastAsia" w:eastAsiaTheme="majorEastAsia" w:cstheme="majorEastAsia"/>
                <w:szCs w:val="21"/>
              </w:rPr>
              <w:t>2</w:t>
            </w:r>
            <w:r>
              <w:rPr>
                <w:rFonts w:hint="eastAsia"/>
                <w:szCs w:val="21"/>
              </w:rPr>
              <w:t>分，其他地区得1分。</w:t>
            </w:r>
          </w:p>
          <w:p>
            <w:pPr>
              <w:jc w:val="left"/>
              <w:rPr>
                <w:rFonts w:ascii="宋体" w:hAnsi="宋体"/>
                <w:bCs/>
                <w:color w:val="000000"/>
                <w:szCs w:val="21"/>
              </w:rPr>
            </w:pPr>
            <w:r>
              <w:rPr>
                <w:rFonts w:hint="eastAsia" w:ascii="宋体" w:hAnsi="宋体" w:cs="宋体"/>
                <w:b/>
                <w:bCs/>
                <w:szCs w:val="21"/>
              </w:rPr>
              <w:t>证明材料：提供营业执照扫描件，原件备查，未提供或无法判断的不得分</w:t>
            </w:r>
            <w:r>
              <w:rPr>
                <w:rFonts w:hint="eastAsia"/>
                <w:szCs w:val="21"/>
              </w:rPr>
              <w:t>。</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restar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技术分</w:t>
            </w:r>
          </w:p>
          <w:p>
            <w:pPr>
              <w:widowControl/>
              <w:jc w:val="center"/>
              <w:rPr>
                <w:rFonts w:ascii="宋体" w:hAnsi="宋体" w:cs="宋体"/>
                <w:bCs/>
                <w:color w:val="000000"/>
                <w:kern w:val="0"/>
                <w:szCs w:val="21"/>
              </w:rPr>
            </w:pPr>
            <w:r>
              <w:rPr>
                <w:rFonts w:hint="eastAsia" w:ascii="宋体" w:hAnsi="宋体" w:cs="宋体"/>
                <w:bCs/>
                <w:color w:val="000000"/>
                <w:kern w:val="0"/>
                <w:szCs w:val="21"/>
              </w:rPr>
              <w:t>(55分)</w:t>
            </w:r>
          </w:p>
        </w:tc>
        <w:tc>
          <w:tcPr>
            <w:tcW w:w="667" w:type="pct"/>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lang w:bidi="ar"/>
              </w:rPr>
              <w:t>实施方案（25分）</w:t>
            </w:r>
          </w:p>
        </w:tc>
        <w:tc>
          <w:tcPr>
            <w:tcW w:w="2651" w:type="pct"/>
            <w:vAlign w:val="center"/>
          </w:tcPr>
          <w:p>
            <w:pPr>
              <w:widowControl/>
              <w:jc w:val="left"/>
              <w:textAlignment w:val="top"/>
              <w:rPr>
                <w:rFonts w:ascii="宋体" w:hAnsi="宋体"/>
                <w:szCs w:val="21"/>
              </w:rPr>
            </w:pPr>
            <w:r>
              <w:rPr>
                <w:rFonts w:hint="eastAsia" w:ascii="宋体" w:hAnsi="宋体"/>
                <w:szCs w:val="21"/>
              </w:rPr>
              <w:t>根据投标人提供的项目工作方案和技术路线的先进性、全面性、科学性等进行分档评审：评价为优得25分，评价为良得</w:t>
            </w:r>
            <w:r>
              <w:rPr>
                <w:rFonts w:hint="eastAsia" w:ascii="宋体" w:hAnsi="宋体"/>
                <w:szCs w:val="21"/>
                <w:lang w:val="en-US" w:eastAsia="zh-CN"/>
              </w:rPr>
              <w:t>20</w:t>
            </w:r>
            <w:r>
              <w:rPr>
                <w:rFonts w:hint="eastAsia" w:ascii="宋体" w:hAnsi="宋体"/>
                <w:szCs w:val="21"/>
              </w:rPr>
              <w:t>分，评价为</w:t>
            </w:r>
            <w:r>
              <w:rPr>
                <w:rFonts w:hint="eastAsia" w:ascii="宋体" w:hAnsi="宋体"/>
                <w:szCs w:val="21"/>
                <w:lang w:val="en-US" w:eastAsia="zh-CN"/>
              </w:rPr>
              <w:t>一般</w:t>
            </w:r>
            <w:r>
              <w:rPr>
                <w:rFonts w:hint="eastAsia" w:ascii="宋体" w:hAnsi="宋体"/>
                <w:szCs w:val="21"/>
              </w:rPr>
              <w:t>得1</w:t>
            </w:r>
            <w:r>
              <w:rPr>
                <w:rFonts w:hint="eastAsia" w:ascii="宋体" w:hAnsi="宋体"/>
                <w:szCs w:val="21"/>
                <w:lang w:val="en-US" w:eastAsia="zh-CN"/>
              </w:rPr>
              <w:t>5</w:t>
            </w:r>
            <w:r>
              <w:rPr>
                <w:rFonts w:hint="eastAsia" w:ascii="宋体" w:hAnsi="宋体"/>
                <w:szCs w:val="21"/>
              </w:rPr>
              <w:t>分</w:t>
            </w:r>
            <w:r>
              <w:rPr>
                <w:rFonts w:hint="eastAsia" w:ascii="宋体" w:hAnsi="宋体"/>
                <w:szCs w:val="21"/>
                <w:lang w:eastAsia="zh-CN"/>
              </w:rPr>
              <w:t>，</w:t>
            </w:r>
            <w:r>
              <w:rPr>
                <w:rFonts w:hint="eastAsia" w:ascii="宋体" w:hAnsi="宋体"/>
                <w:szCs w:val="21"/>
              </w:rPr>
              <w:t>未提供不得分。</w:t>
            </w:r>
          </w:p>
          <w:p>
            <w:pPr>
              <w:widowControl/>
              <w:jc w:val="left"/>
              <w:textAlignment w:val="top"/>
              <w:rPr>
                <w:rFonts w:ascii="宋体" w:hAnsi="宋体"/>
                <w:szCs w:val="21"/>
              </w:rPr>
            </w:pPr>
            <w:r>
              <w:rPr>
                <w:rFonts w:hint="eastAsia" w:ascii="宋体" w:hAnsi="宋体"/>
                <w:szCs w:val="21"/>
              </w:rPr>
              <w:t>评分标准：</w:t>
            </w:r>
          </w:p>
          <w:p>
            <w:pPr>
              <w:widowControl/>
              <w:jc w:val="left"/>
              <w:textAlignment w:val="top"/>
              <w:rPr>
                <w:rFonts w:ascii="宋体" w:hAnsi="宋体"/>
                <w:szCs w:val="21"/>
              </w:rPr>
            </w:pPr>
            <w:r>
              <w:rPr>
                <w:rFonts w:hint="eastAsia" w:ascii="宋体" w:hAnsi="宋体"/>
                <w:szCs w:val="21"/>
              </w:rPr>
              <w:t>优：内容全面，针对性和可操作性强；</w:t>
            </w:r>
          </w:p>
          <w:p>
            <w:pPr>
              <w:widowControl/>
              <w:jc w:val="left"/>
              <w:textAlignment w:val="top"/>
              <w:rPr>
                <w:rFonts w:ascii="宋体" w:hAnsi="宋体"/>
                <w:szCs w:val="21"/>
              </w:rPr>
            </w:pPr>
            <w:r>
              <w:rPr>
                <w:rFonts w:hint="eastAsia" w:ascii="宋体" w:hAnsi="宋体"/>
                <w:szCs w:val="21"/>
              </w:rPr>
              <w:t>良：内容较全面，针对性和可操作性较强；</w:t>
            </w:r>
          </w:p>
          <w:p>
            <w:pPr>
              <w:widowControl/>
              <w:jc w:val="left"/>
              <w:textAlignment w:val="top"/>
              <w:rPr>
                <w:rFonts w:ascii="宋体" w:hAnsi="宋体" w:cs="宋体"/>
                <w:bCs/>
                <w:color w:val="000000"/>
                <w:kern w:val="0"/>
                <w:szCs w:val="21"/>
                <w:lang w:bidi="ar"/>
              </w:rPr>
            </w:pPr>
            <w:r>
              <w:rPr>
                <w:rFonts w:hint="eastAsia" w:ascii="宋体" w:hAnsi="宋体"/>
                <w:szCs w:val="21"/>
                <w:lang w:val="en-US" w:eastAsia="zh-CN"/>
              </w:rPr>
              <w:t>一般</w:t>
            </w:r>
            <w:r>
              <w:rPr>
                <w:rFonts w:hint="eastAsia" w:ascii="宋体" w:hAnsi="宋体"/>
                <w:szCs w:val="21"/>
              </w:rPr>
              <w:t>：有基本内容，有一定的可操作性；</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5" w:type="pct"/>
            <w:vMerge w:val="continue"/>
            <w:vAlign w:val="center"/>
          </w:tcPr>
          <w:p>
            <w:pPr>
              <w:widowControl/>
              <w:jc w:val="center"/>
              <w:rPr>
                <w:rFonts w:ascii="宋体" w:hAnsi="宋体" w:cs="宋体"/>
                <w:bCs/>
                <w:color w:val="000000"/>
                <w:kern w:val="0"/>
                <w:szCs w:val="21"/>
              </w:rPr>
            </w:pPr>
          </w:p>
        </w:tc>
        <w:tc>
          <w:tcPr>
            <w:tcW w:w="667" w:type="pct"/>
            <w:vAlign w:val="center"/>
          </w:tcPr>
          <w:p>
            <w:pPr>
              <w:widowControl/>
              <w:jc w:val="center"/>
              <w:rPr>
                <w:rFonts w:hint="default" w:ascii="宋体" w:hAnsi="宋体" w:eastAsia="宋体"/>
                <w:szCs w:val="21"/>
                <w:lang w:val="en-US" w:eastAsia="zh-CN"/>
              </w:rPr>
            </w:pPr>
            <w:r>
              <w:rPr>
                <w:rFonts w:hint="eastAsia" w:ascii="宋体" w:hAnsi="宋体"/>
                <w:szCs w:val="21"/>
                <w:lang w:val="en-US" w:eastAsia="zh-CN"/>
              </w:rPr>
              <w:t>拟安排专家顾问服务承诺</w:t>
            </w:r>
          </w:p>
          <w:p>
            <w:pPr>
              <w:widowControl/>
              <w:jc w:val="center"/>
              <w:rPr>
                <w:rFonts w:ascii="宋体" w:hAnsi="宋体" w:cs="宋体"/>
                <w:bCs/>
                <w:color w:val="000000"/>
                <w:kern w:val="0"/>
                <w:szCs w:val="21"/>
              </w:rPr>
            </w:pPr>
            <w:r>
              <w:rPr>
                <w:rFonts w:hint="eastAsia" w:ascii="宋体" w:hAnsi="宋体"/>
                <w:szCs w:val="21"/>
              </w:rPr>
              <w:t>（10分）</w:t>
            </w:r>
          </w:p>
        </w:tc>
        <w:tc>
          <w:tcPr>
            <w:tcW w:w="2651" w:type="pct"/>
            <w:vAlign w:val="center"/>
          </w:tcPr>
          <w:p>
            <w:pPr>
              <w:widowControl/>
              <w:jc w:val="left"/>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根据项目情况，投标人承诺拟安排三名对</w:t>
            </w:r>
            <w:r>
              <w:rPr>
                <w:rFonts w:hint="eastAsia" w:ascii="宋体" w:hAnsi="宋体" w:cs="宋体"/>
                <w:sz w:val="21"/>
                <w:szCs w:val="21"/>
                <w:lang w:val="en-US" w:eastAsia="zh-CN"/>
              </w:rPr>
              <w:t>本项目生态环保</w:t>
            </w:r>
            <w:r>
              <w:rPr>
                <w:rFonts w:hint="eastAsia" w:ascii="宋体" w:hAnsi="宋体" w:eastAsia="宋体" w:cs="宋体"/>
                <w:sz w:val="21"/>
                <w:szCs w:val="21"/>
                <w:lang w:val="en-US" w:eastAsia="zh-CN"/>
              </w:rPr>
              <w:t>相关政策标准、运维监管、技术发展</w:t>
            </w:r>
            <w:r>
              <w:rPr>
                <w:rFonts w:hint="eastAsia" w:ascii="宋体" w:hAnsi="宋体" w:cs="宋体"/>
                <w:sz w:val="21"/>
                <w:szCs w:val="21"/>
                <w:lang w:val="en-US" w:eastAsia="zh-CN"/>
              </w:rPr>
              <w:t>等有</w:t>
            </w:r>
            <w:r>
              <w:rPr>
                <w:rFonts w:hint="eastAsia" w:ascii="宋体" w:hAnsi="宋体" w:eastAsia="宋体" w:cs="宋体"/>
                <w:sz w:val="21"/>
                <w:szCs w:val="21"/>
                <w:lang w:val="en-US" w:eastAsia="zh-CN"/>
              </w:rPr>
              <w:t>深厚洞察和见解的领域资深专家提供顾问服务（</w:t>
            </w:r>
            <w:r>
              <w:rPr>
                <w:rFonts w:hint="eastAsia" w:ascii="宋体" w:hAnsi="宋体" w:cs="宋体"/>
                <w:sz w:val="21"/>
                <w:szCs w:val="21"/>
                <w:lang w:val="en-US" w:eastAsia="zh-CN"/>
              </w:rPr>
              <w:t>承诺函</w:t>
            </w:r>
            <w:bookmarkStart w:id="83" w:name="_GoBack"/>
            <w:bookmarkEnd w:id="83"/>
            <w:r>
              <w:rPr>
                <w:rFonts w:hint="eastAsia" w:ascii="宋体" w:hAnsi="宋体" w:eastAsia="宋体" w:cs="宋体"/>
                <w:sz w:val="21"/>
                <w:szCs w:val="21"/>
                <w:lang w:val="en-US" w:eastAsia="zh-CN"/>
              </w:rPr>
              <w:t>格式自拟）：</w:t>
            </w:r>
            <w:r>
              <w:rPr>
                <w:rFonts w:hint="eastAsia" w:ascii="宋体" w:hAnsi="宋体" w:eastAsia="宋体" w:cs="宋体"/>
                <w:sz w:val="21"/>
                <w:szCs w:val="21"/>
              </w:rPr>
              <w:t>评价为优得</w:t>
            </w:r>
            <w:r>
              <w:rPr>
                <w:rFonts w:hint="eastAsia" w:ascii="宋体" w:hAnsi="宋体" w:cs="宋体"/>
                <w:sz w:val="21"/>
                <w:szCs w:val="21"/>
                <w:lang w:val="en-US" w:eastAsia="zh-CN"/>
              </w:rPr>
              <w:t>10</w:t>
            </w:r>
            <w:r>
              <w:rPr>
                <w:rFonts w:hint="eastAsia" w:ascii="宋体" w:hAnsi="宋体" w:eastAsia="宋体" w:cs="宋体"/>
                <w:sz w:val="21"/>
                <w:szCs w:val="21"/>
              </w:rPr>
              <w:t>分，评价为良得</w:t>
            </w:r>
            <w:r>
              <w:rPr>
                <w:rFonts w:hint="eastAsia" w:ascii="宋体" w:hAnsi="宋体" w:cs="宋体"/>
                <w:sz w:val="21"/>
                <w:szCs w:val="21"/>
                <w:lang w:val="en-US" w:eastAsia="zh-CN"/>
              </w:rPr>
              <w:t>6</w:t>
            </w:r>
            <w:r>
              <w:rPr>
                <w:rFonts w:hint="eastAsia" w:ascii="宋体" w:hAnsi="宋体" w:eastAsia="宋体" w:cs="宋体"/>
                <w:sz w:val="21"/>
                <w:szCs w:val="21"/>
              </w:rPr>
              <w:t>分，评价为</w:t>
            </w:r>
            <w:r>
              <w:rPr>
                <w:rFonts w:hint="eastAsia" w:ascii="宋体" w:hAnsi="宋体" w:eastAsia="宋体" w:cs="宋体"/>
                <w:sz w:val="21"/>
                <w:szCs w:val="21"/>
                <w:lang w:val="en-US" w:eastAsia="zh-CN"/>
              </w:rPr>
              <w:t>一般</w:t>
            </w:r>
            <w:r>
              <w:rPr>
                <w:rFonts w:hint="eastAsia" w:ascii="宋体" w:hAnsi="宋体" w:eastAsia="宋体" w:cs="宋体"/>
                <w:sz w:val="21"/>
                <w:szCs w:val="21"/>
              </w:rPr>
              <w:t>得</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未提供不得分</w:t>
            </w:r>
            <w:r>
              <w:rPr>
                <w:rFonts w:hint="eastAsia" w:ascii="宋体" w:hAnsi="宋体" w:eastAsia="宋体" w:cs="宋体"/>
                <w:sz w:val="21"/>
                <w:szCs w:val="21"/>
                <w:lang w:val="en-US" w:eastAsia="zh-CN"/>
              </w:rPr>
              <w:t>。</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评分标准：</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优：内容全面，针对性和可操作性强；</w:t>
            </w:r>
          </w:p>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良：内容较全面，针对性和可操作性较强；</w:t>
            </w:r>
          </w:p>
          <w:p>
            <w:pPr>
              <w:pStyle w:val="2"/>
              <w:rPr>
                <w:rFonts w:hint="default"/>
                <w:lang w:val="en-US"/>
              </w:rPr>
            </w:pPr>
            <w:r>
              <w:rPr>
                <w:rFonts w:hint="eastAsia" w:ascii="宋体" w:hAnsi="宋体" w:eastAsia="宋体" w:cs="宋体"/>
                <w:sz w:val="21"/>
                <w:szCs w:val="21"/>
                <w:lang w:val="en-US" w:eastAsia="zh-CN"/>
              </w:rPr>
              <w:t>一般</w:t>
            </w:r>
            <w:r>
              <w:rPr>
                <w:rFonts w:hint="eastAsia" w:ascii="宋体" w:hAnsi="宋体" w:eastAsia="宋体" w:cs="宋体"/>
                <w:sz w:val="21"/>
                <w:szCs w:val="21"/>
              </w:rPr>
              <w:t>：有基本内容，有一定的可操作性；</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715" w:type="pct"/>
            <w:vMerge w:val="continue"/>
            <w:vAlign w:val="center"/>
          </w:tcPr>
          <w:p>
            <w:pPr>
              <w:widowControl/>
              <w:jc w:val="center"/>
              <w:rPr>
                <w:rFonts w:ascii="宋体" w:hAnsi="宋体" w:cs="宋体"/>
                <w:bCs/>
                <w:color w:val="000000"/>
                <w:kern w:val="0"/>
                <w:szCs w:val="21"/>
              </w:rPr>
            </w:pPr>
          </w:p>
        </w:tc>
        <w:tc>
          <w:tcPr>
            <w:tcW w:w="667" w:type="pct"/>
            <w:vAlign w:val="center"/>
          </w:tcPr>
          <w:p>
            <w:pPr>
              <w:widowControl/>
              <w:jc w:val="center"/>
              <w:rPr>
                <w:rFonts w:hint="eastAsia" w:ascii="宋体" w:hAnsi="宋体" w:eastAsia="宋体" w:cs="宋体"/>
              </w:rPr>
            </w:pPr>
            <w:r>
              <w:rPr>
                <w:rFonts w:hint="eastAsia" w:ascii="宋体" w:hAnsi="宋体" w:eastAsia="宋体" w:cs="宋体"/>
              </w:rPr>
              <w:t>拟安排的项目主要团队成员</w:t>
            </w:r>
          </w:p>
          <w:p>
            <w:pPr>
              <w:widowControl/>
              <w:jc w:val="center"/>
            </w:pPr>
            <w:r>
              <w:rPr>
                <w:rFonts w:hint="eastAsia" w:ascii="宋体" w:hAnsi="宋体" w:eastAsia="宋体" w:cs="宋体"/>
              </w:rPr>
              <w:t>（</w:t>
            </w:r>
            <w:r>
              <w:rPr>
                <w:rFonts w:hint="eastAsia" w:ascii="宋体" w:hAnsi="宋体" w:eastAsia="宋体" w:cs="宋体"/>
                <w:b w:val="0"/>
                <w:bCs w:val="0"/>
              </w:rPr>
              <w:t>10</w:t>
            </w:r>
            <w:r>
              <w:rPr>
                <w:rFonts w:hint="eastAsia" w:ascii="宋体" w:hAnsi="宋体" w:eastAsia="宋体" w:cs="宋体"/>
              </w:rPr>
              <w:t>分）</w:t>
            </w:r>
          </w:p>
        </w:tc>
        <w:tc>
          <w:tcPr>
            <w:tcW w:w="2651" w:type="pct"/>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ind w:left="15" w:hanging="14" w:hangingChars="7"/>
              <w:jc w:val="left"/>
              <w:rPr>
                <w:rFonts w:hint="eastAsia"/>
                <w:szCs w:val="21"/>
                <w:highlight w:val="none"/>
              </w:rPr>
            </w:pPr>
            <w:r>
              <w:rPr>
                <w:rFonts w:hint="eastAsia" w:ascii="宋体" w:hAnsi="宋体" w:cs="宋体"/>
                <w:szCs w:val="21"/>
                <w:highlight w:val="none"/>
                <w:lang w:val="en-US" w:eastAsia="zh-CN"/>
              </w:rPr>
              <w:t>1、项目负责人</w:t>
            </w:r>
            <w:r>
              <w:rPr>
                <w:rFonts w:hint="eastAsia" w:ascii="宋体" w:hAnsi="宋体" w:cs="宋体"/>
                <w:szCs w:val="21"/>
                <w:highlight w:val="none"/>
              </w:rPr>
              <w:t>拥有</w:t>
            </w:r>
            <w:r>
              <w:rPr>
                <w:rFonts w:hint="eastAsia" w:ascii="宋体" w:hAnsi="宋体" w:cs="宋体"/>
                <w:szCs w:val="21"/>
                <w:highlight w:val="none"/>
                <w:lang w:val="en-US" w:eastAsia="zh-CN"/>
              </w:rPr>
              <w:t>硕</w:t>
            </w:r>
            <w:r>
              <w:rPr>
                <w:rFonts w:hint="eastAsia" w:ascii="宋体" w:hAnsi="宋体" w:cs="宋体"/>
                <w:szCs w:val="21"/>
                <w:highlight w:val="none"/>
              </w:rPr>
              <w:t>士研究生或以上学历，高级工程师职称，咨询工程师证书（满足其中一项得3分，最高得6分）</w:t>
            </w:r>
            <w:r>
              <w:rPr>
                <w:rFonts w:hint="eastAsia" w:ascii="宋体" w:hAnsi="宋体" w:cs="宋体"/>
                <w:szCs w:val="21"/>
                <w:highlight w:val="none"/>
                <w:lang w:val="en-US" w:eastAsia="zh-CN"/>
              </w:rPr>
              <w:t>；</w:t>
            </w:r>
            <w:r>
              <w:rPr>
                <w:rFonts w:hint="eastAsia" w:ascii="宋体" w:hAnsi="宋体" w:cs="宋体"/>
                <w:b/>
                <w:bCs/>
                <w:szCs w:val="21"/>
                <w:highlight w:val="none"/>
              </w:rPr>
              <w:t>（提供有效证书）</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ind w:left="15" w:hanging="14" w:hangingChars="7"/>
              <w:jc w:val="left"/>
              <w:rPr>
                <w:rFonts w:ascii="宋体" w:hAnsi="宋体" w:cs="宋体"/>
                <w:szCs w:val="21"/>
                <w:highlight w:val="yellow"/>
              </w:rPr>
            </w:pPr>
            <w:r>
              <w:rPr>
                <w:rFonts w:hint="eastAsia"/>
                <w:szCs w:val="21"/>
                <w:highlight w:val="none"/>
                <w:lang w:val="en-US" w:eastAsia="zh-CN"/>
              </w:rPr>
              <w:t>2、</w:t>
            </w:r>
            <w:r>
              <w:rPr>
                <w:rFonts w:hint="eastAsia"/>
                <w:szCs w:val="21"/>
                <w:highlight w:val="none"/>
              </w:rPr>
              <w:t>项目团队成员</w:t>
            </w:r>
            <w:r>
              <w:rPr>
                <w:rFonts w:hint="eastAsia"/>
                <w:szCs w:val="21"/>
                <w:highlight w:val="none"/>
                <w:lang w:eastAsia="zh-CN"/>
              </w:rPr>
              <w:t>（</w:t>
            </w:r>
            <w:r>
              <w:rPr>
                <w:rFonts w:hint="eastAsia"/>
                <w:szCs w:val="21"/>
                <w:highlight w:val="none"/>
                <w:lang w:val="en-US" w:eastAsia="zh-CN"/>
              </w:rPr>
              <w:t>除项目负责人）</w:t>
            </w:r>
            <w:r>
              <w:rPr>
                <w:rFonts w:hint="eastAsia"/>
                <w:highlight w:val="none"/>
              </w:rPr>
              <w:t>中</w:t>
            </w:r>
            <w:r>
              <w:rPr>
                <w:rFonts w:hint="eastAsia" w:ascii="宋体" w:hAnsi="宋体" w:cs="宋体"/>
                <w:szCs w:val="21"/>
                <w:highlight w:val="none"/>
              </w:rPr>
              <w:t>有1名硕士研究生</w:t>
            </w:r>
            <w:r>
              <w:rPr>
                <w:rFonts w:hint="eastAsia"/>
                <w:szCs w:val="21"/>
                <w:highlight w:val="none"/>
              </w:rPr>
              <w:t>（或以上）或中级（或以上）工程师职称</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分，最高得分</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b/>
                <w:bCs/>
                <w:szCs w:val="21"/>
                <w:highlight w:val="none"/>
              </w:rPr>
              <w:t>（提供有效证书）</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715" w:type="pct"/>
            <w:vMerge w:val="continue"/>
            <w:vAlign w:val="center"/>
          </w:tcPr>
          <w:p>
            <w:pPr>
              <w:widowControl/>
              <w:jc w:val="center"/>
              <w:rPr>
                <w:rFonts w:ascii="宋体" w:hAnsi="宋体" w:cs="宋体"/>
                <w:bCs/>
                <w:color w:val="000000"/>
                <w:kern w:val="0"/>
                <w:szCs w:val="21"/>
              </w:rPr>
            </w:pPr>
          </w:p>
        </w:tc>
        <w:tc>
          <w:tcPr>
            <w:tcW w:w="667" w:type="pct"/>
            <w:vAlign w:val="center"/>
          </w:tcPr>
          <w:p>
            <w:pPr>
              <w:widowControl/>
              <w:jc w:val="center"/>
            </w:pPr>
            <w:r>
              <w:t>项目完成（服务期满）后的服务承诺</w:t>
            </w:r>
          </w:p>
          <w:p>
            <w:pPr>
              <w:pStyle w:val="2"/>
              <w:rPr>
                <w:rFonts w:hint="default"/>
                <w:sz w:val="21"/>
                <w:szCs w:val="21"/>
              </w:rPr>
            </w:pPr>
            <w:r>
              <w:rPr>
                <w:sz w:val="21"/>
                <w:szCs w:val="21"/>
              </w:rPr>
              <w:t>（5分）</w:t>
            </w:r>
          </w:p>
          <w:p>
            <w:pPr>
              <w:pStyle w:val="2"/>
              <w:rPr>
                <w:rFonts w:hint="default"/>
              </w:rPr>
            </w:pPr>
          </w:p>
        </w:tc>
        <w:tc>
          <w:tcPr>
            <w:tcW w:w="2651" w:type="pct"/>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szCs w:val="21"/>
              </w:rPr>
              <w:t>根据投标人对本项目完成（服务期满）后的服务承诺进行分档评审：评价为优得5分，评价为良得3分，评价为</w:t>
            </w:r>
            <w:r>
              <w:rPr>
                <w:rFonts w:hint="eastAsia" w:ascii="宋体" w:hAnsi="宋体" w:cs="宋体"/>
                <w:szCs w:val="21"/>
                <w:lang w:val="en-US" w:eastAsia="zh-CN"/>
              </w:rPr>
              <w:t>一般</w:t>
            </w:r>
            <w:r>
              <w:rPr>
                <w:rFonts w:hint="eastAsia" w:ascii="宋体" w:hAnsi="宋体" w:cs="宋体"/>
                <w:szCs w:val="21"/>
              </w:rPr>
              <w:t>得2分，未提供不得分。</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评分标准：</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b/>
                <w:bCs/>
                <w:szCs w:val="21"/>
              </w:rPr>
              <w:t>优：</w:t>
            </w:r>
            <w:r>
              <w:rPr>
                <w:rFonts w:hint="eastAsia" w:ascii="宋体" w:hAnsi="宋体" w:cs="宋体"/>
                <w:szCs w:val="21"/>
              </w:rPr>
              <w:t>内容全面，针对性和可操作性强；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b/>
                <w:bCs/>
                <w:szCs w:val="21"/>
              </w:rPr>
              <w:t>良：</w:t>
            </w:r>
            <w:r>
              <w:rPr>
                <w:rFonts w:hint="eastAsia" w:ascii="宋体" w:hAnsi="宋体" w:cs="宋体"/>
                <w:szCs w:val="21"/>
              </w:rPr>
              <w:t>内容较全面，针对性和可操作性较强；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b/>
                <w:bCs/>
                <w:szCs w:val="21"/>
                <w:lang w:val="en-US" w:eastAsia="zh-CN"/>
              </w:rPr>
              <w:t>一般</w:t>
            </w:r>
            <w:r>
              <w:rPr>
                <w:rFonts w:hint="eastAsia" w:ascii="宋体" w:hAnsi="宋体" w:cs="宋体"/>
                <w:b/>
                <w:bCs/>
                <w:szCs w:val="21"/>
              </w:rPr>
              <w:t>：</w:t>
            </w:r>
            <w:r>
              <w:rPr>
                <w:rFonts w:hint="eastAsia" w:ascii="宋体" w:hAnsi="宋体" w:cs="宋体"/>
                <w:szCs w:val="21"/>
              </w:rPr>
              <w:t>有基本内容，有一定的可操作性；</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Merge w:val="continue"/>
            <w:vAlign w:val="center"/>
          </w:tcPr>
          <w:p>
            <w:pPr>
              <w:widowControl/>
              <w:jc w:val="center"/>
              <w:rPr>
                <w:rFonts w:ascii="宋体" w:hAnsi="宋体" w:cs="宋体"/>
                <w:bCs/>
                <w:color w:val="000000"/>
                <w:kern w:val="0"/>
                <w:szCs w:val="21"/>
              </w:rPr>
            </w:pPr>
          </w:p>
        </w:tc>
        <w:tc>
          <w:tcPr>
            <w:tcW w:w="667" w:type="pct"/>
            <w:vAlign w:val="center"/>
          </w:tcPr>
          <w:p>
            <w:pPr>
              <w:widowControl/>
              <w:jc w:val="center"/>
              <w:rPr>
                <w:rFonts w:ascii="宋体" w:hAnsi="宋体" w:cs="宋体"/>
                <w:bCs/>
                <w:color w:val="000000"/>
                <w:kern w:val="0"/>
                <w:szCs w:val="21"/>
              </w:rPr>
            </w:pPr>
            <w:r>
              <w:rPr>
                <w:rFonts w:hint="eastAsia" w:ascii="宋体" w:hAnsi="宋体"/>
                <w:szCs w:val="21"/>
              </w:rPr>
              <w:t>违约承诺（5分）</w:t>
            </w:r>
          </w:p>
        </w:tc>
        <w:tc>
          <w:tcPr>
            <w:tcW w:w="2651" w:type="pct"/>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szCs w:val="21"/>
              </w:rPr>
              <w:t>投标人须提供违约承诺函（格式自拟）。评审委员会根据约承诺内容进行分档评审：评价为优得5分，评价为良得3分，评价</w:t>
            </w:r>
            <w:r>
              <w:rPr>
                <w:rFonts w:hint="eastAsia" w:ascii="宋体" w:hAnsi="宋体" w:cs="宋体"/>
                <w:szCs w:val="21"/>
                <w:lang w:val="en-US" w:eastAsia="zh-CN"/>
              </w:rPr>
              <w:t>一般</w:t>
            </w:r>
            <w:r>
              <w:rPr>
                <w:rFonts w:hint="eastAsia" w:ascii="宋体" w:hAnsi="宋体" w:cs="宋体"/>
                <w:szCs w:val="21"/>
              </w:rPr>
              <w:t>得2分，未提供不得分。</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评分标准：</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b/>
                <w:bCs/>
                <w:szCs w:val="21"/>
              </w:rPr>
              <w:t>优：</w:t>
            </w:r>
            <w:r>
              <w:rPr>
                <w:rFonts w:hint="eastAsia" w:ascii="宋体" w:hAnsi="宋体" w:cs="宋体"/>
                <w:szCs w:val="21"/>
              </w:rPr>
              <w:t>内容全面，针对性和可操作性强；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cs="宋体"/>
                <w:szCs w:val="21"/>
              </w:rPr>
            </w:pPr>
            <w:r>
              <w:rPr>
                <w:rFonts w:hint="eastAsia" w:ascii="宋体" w:hAnsi="宋体" w:cs="宋体"/>
                <w:b/>
                <w:bCs/>
                <w:szCs w:val="21"/>
              </w:rPr>
              <w:t>良：</w:t>
            </w:r>
            <w:r>
              <w:rPr>
                <w:rFonts w:hint="eastAsia" w:ascii="宋体" w:hAnsi="宋体" w:cs="宋体"/>
                <w:szCs w:val="21"/>
              </w:rPr>
              <w:t>内容较全面，针对性和可操作性较强；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00" w:lineRule="exact"/>
              <w:jc w:val="left"/>
              <w:rPr>
                <w:rFonts w:ascii="宋体" w:hAnsi="宋体"/>
                <w:bCs/>
                <w:color w:val="000000"/>
                <w:szCs w:val="21"/>
              </w:rPr>
            </w:pPr>
            <w:r>
              <w:rPr>
                <w:rFonts w:hint="eastAsia" w:ascii="宋体" w:hAnsi="宋体" w:cs="宋体"/>
                <w:b/>
                <w:bCs/>
                <w:szCs w:val="21"/>
                <w:lang w:val="en-US" w:eastAsia="zh-CN"/>
              </w:rPr>
              <w:t>一般</w:t>
            </w:r>
            <w:r>
              <w:rPr>
                <w:rFonts w:hint="eastAsia" w:ascii="宋体" w:hAnsi="宋体" w:cs="宋体"/>
                <w:b/>
                <w:bCs/>
                <w:szCs w:val="21"/>
              </w:rPr>
              <w:t>：</w:t>
            </w:r>
            <w:r>
              <w:rPr>
                <w:rFonts w:hint="eastAsia" w:ascii="宋体" w:hAnsi="宋体" w:cs="宋体"/>
                <w:szCs w:val="21"/>
              </w:rPr>
              <w:t>有基本内容，有一定的可操作性；</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jc w:val="center"/>
              <w:rPr>
                <w:rFonts w:ascii="宋体" w:hAnsi="宋体" w:cs="宋体"/>
                <w:bCs/>
                <w:color w:val="000000"/>
                <w:kern w:val="0"/>
                <w:szCs w:val="21"/>
              </w:rPr>
            </w:pPr>
            <w:r>
              <w:rPr>
                <w:rFonts w:hint="eastAsia" w:ascii="宋体" w:hAnsi="宋体" w:cs="宋体"/>
                <w:bCs/>
                <w:color w:val="000000"/>
                <w:kern w:val="0"/>
                <w:szCs w:val="21"/>
              </w:rPr>
              <w:t>价格分</w:t>
            </w:r>
          </w:p>
          <w:p>
            <w:pPr>
              <w:widowControl/>
              <w:jc w:val="center"/>
              <w:rPr>
                <w:rFonts w:ascii="宋体" w:hAnsi="宋体" w:cs="宋体"/>
                <w:bCs/>
                <w:color w:val="000000"/>
                <w:kern w:val="0"/>
                <w:szCs w:val="21"/>
              </w:rPr>
            </w:pPr>
            <w:r>
              <w:rPr>
                <w:rFonts w:hint="eastAsia" w:ascii="宋体" w:hAnsi="宋体" w:cs="宋体"/>
                <w:bCs/>
                <w:color w:val="000000"/>
                <w:kern w:val="0"/>
                <w:szCs w:val="21"/>
              </w:rPr>
              <w:t>（</w:t>
            </w:r>
            <w:r>
              <w:rPr>
                <w:rFonts w:ascii="宋体" w:hAnsi="宋体" w:cs="宋体"/>
                <w:bCs/>
                <w:color w:val="000000"/>
                <w:kern w:val="0"/>
                <w:szCs w:val="21"/>
              </w:rPr>
              <w:t>3</w:t>
            </w:r>
            <w:r>
              <w:rPr>
                <w:rFonts w:hint="eastAsia" w:ascii="宋体" w:hAnsi="宋体" w:cs="宋体"/>
                <w:bCs/>
                <w:color w:val="000000"/>
                <w:kern w:val="0"/>
                <w:szCs w:val="21"/>
              </w:rPr>
              <w:t>5分）</w:t>
            </w:r>
          </w:p>
        </w:tc>
        <w:tc>
          <w:tcPr>
            <w:tcW w:w="667" w:type="pct"/>
            <w:vAlign w:val="center"/>
          </w:tcPr>
          <w:p>
            <w:pPr>
              <w:widowControl/>
              <w:jc w:val="center"/>
              <w:rPr>
                <w:rFonts w:ascii="宋体" w:hAnsi="宋体" w:cs="宋体"/>
                <w:bCs/>
                <w:color w:val="000000"/>
                <w:kern w:val="0"/>
                <w:szCs w:val="21"/>
              </w:rPr>
            </w:pPr>
            <w:r>
              <w:rPr>
                <w:rFonts w:hint="eastAsia" w:ascii="宋体" w:hAnsi="宋体"/>
                <w:bCs/>
                <w:color w:val="000000"/>
                <w:szCs w:val="21"/>
              </w:rPr>
              <w:t>（35分）</w:t>
            </w:r>
          </w:p>
        </w:tc>
        <w:tc>
          <w:tcPr>
            <w:tcW w:w="2651" w:type="pct"/>
            <w:vAlign w:val="center"/>
          </w:tcPr>
          <w:p>
            <w:pPr>
              <w:autoSpaceDE w:val="0"/>
              <w:autoSpaceDN w:val="0"/>
              <w:adjustRightInd w:val="0"/>
              <w:snapToGrid w:val="0"/>
              <w:rPr>
                <w:rFonts w:ascii="宋体" w:hAnsi="宋体"/>
                <w:szCs w:val="21"/>
              </w:rPr>
            </w:pPr>
            <w:r>
              <w:rPr>
                <w:rFonts w:hint="eastAsia" w:ascii="宋体" w:hAnsi="宋体"/>
                <w:szCs w:val="21"/>
              </w:rPr>
              <w:t>1、评标基准价：取所有有效投标报价的最低价作为为评标基准价。</w:t>
            </w:r>
          </w:p>
          <w:p>
            <w:pPr>
              <w:jc w:val="left"/>
            </w:pPr>
            <w:r>
              <w:rPr>
                <w:rFonts w:hint="eastAsia" w:ascii="宋体" w:hAnsi="宋体"/>
                <w:szCs w:val="21"/>
                <w:lang w:val="en-US" w:eastAsia="zh-CN"/>
              </w:rPr>
              <w:t>2</w:t>
            </w:r>
            <w:r>
              <w:rPr>
                <w:rFonts w:hint="eastAsia" w:ascii="宋体" w:hAnsi="宋体"/>
                <w:szCs w:val="21"/>
              </w:rPr>
              <w:t>、总</w:t>
            </w:r>
            <w:r>
              <w:rPr>
                <w:rFonts w:ascii="宋体" w:hAnsi="宋体"/>
                <w:szCs w:val="21"/>
              </w:rPr>
              <w:t>价格</w:t>
            </w:r>
            <w:r>
              <w:rPr>
                <w:rFonts w:hint="eastAsia" w:ascii="宋体" w:hAnsi="宋体"/>
                <w:szCs w:val="21"/>
              </w:rPr>
              <w:t>分</w:t>
            </w:r>
            <w:r>
              <w:rPr>
                <w:rFonts w:ascii="宋体" w:hAnsi="宋体"/>
                <w:szCs w:val="21"/>
              </w:rPr>
              <w:t>=</w:t>
            </w:r>
            <w:r>
              <w:rPr>
                <w:rFonts w:hint="eastAsia" w:ascii="宋体" w:hAnsi="宋体"/>
                <w:szCs w:val="21"/>
              </w:rPr>
              <w:t>（评标基准价/投标价）×</w:t>
            </w:r>
            <w:r>
              <w:rPr>
                <w:rFonts w:ascii="宋体" w:hAnsi="宋体"/>
                <w:szCs w:val="21"/>
              </w:rPr>
              <w:t>3</w:t>
            </w:r>
            <w:r>
              <w:rPr>
                <w:rFonts w:hint="eastAsia" w:ascii="宋体" w:hAnsi="宋体"/>
                <w:szCs w:val="21"/>
              </w:rPr>
              <w:t>5</w:t>
            </w: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5" w:type="pct"/>
            <w:vAlign w:val="center"/>
          </w:tcPr>
          <w:p>
            <w:pPr>
              <w:jc w:val="center"/>
              <w:rPr>
                <w:rFonts w:ascii="宋体" w:hAnsi="宋体"/>
                <w:bCs/>
                <w:color w:val="000000"/>
                <w:szCs w:val="21"/>
              </w:rPr>
            </w:pPr>
            <w:r>
              <w:rPr>
                <w:rFonts w:hint="eastAsia" w:ascii="宋体" w:hAnsi="宋体"/>
                <w:bCs/>
                <w:color w:val="000000"/>
                <w:szCs w:val="21"/>
              </w:rPr>
              <w:t>总分</w:t>
            </w:r>
          </w:p>
        </w:tc>
        <w:tc>
          <w:tcPr>
            <w:tcW w:w="667" w:type="pct"/>
            <w:vAlign w:val="center"/>
          </w:tcPr>
          <w:p>
            <w:pPr>
              <w:jc w:val="center"/>
              <w:rPr>
                <w:rFonts w:ascii="宋体" w:hAnsi="宋体"/>
                <w:bCs/>
                <w:color w:val="000000"/>
                <w:szCs w:val="21"/>
              </w:rPr>
            </w:pPr>
            <w:r>
              <w:rPr>
                <w:rFonts w:hint="eastAsia" w:ascii="宋体" w:hAnsi="宋体"/>
                <w:bCs/>
                <w:color w:val="000000"/>
                <w:szCs w:val="21"/>
              </w:rPr>
              <w:t>100</w:t>
            </w:r>
          </w:p>
        </w:tc>
        <w:tc>
          <w:tcPr>
            <w:tcW w:w="2651" w:type="pct"/>
            <w:vAlign w:val="center"/>
          </w:tcPr>
          <w:p>
            <w:pPr>
              <w:jc w:val="left"/>
              <w:rPr>
                <w:rFonts w:ascii="宋体" w:hAnsi="宋体"/>
                <w:bCs/>
                <w:color w:val="000000"/>
                <w:szCs w:val="21"/>
              </w:rPr>
            </w:pPr>
          </w:p>
        </w:tc>
        <w:tc>
          <w:tcPr>
            <w:tcW w:w="718" w:type="pct"/>
            <w:vAlign w:val="center"/>
          </w:tcPr>
          <w:p>
            <w:pPr>
              <w:jc w:val="center"/>
              <w:rPr>
                <w:rFonts w:ascii="宋体" w:hAnsi="宋体"/>
                <w:bCs/>
                <w:color w:val="000000"/>
                <w:szCs w:val="21"/>
              </w:rPr>
            </w:pPr>
          </w:p>
        </w:tc>
        <w:tc>
          <w:tcPr>
            <w:tcW w:w="247" w:type="pct"/>
            <w:vAlign w:val="center"/>
          </w:tcPr>
          <w:p>
            <w:pPr>
              <w:jc w:val="center"/>
              <w:rPr>
                <w:rFonts w:ascii="宋体" w:hAnsi="宋体"/>
                <w:bCs/>
                <w:color w:val="000000"/>
                <w:szCs w:val="21"/>
              </w:rPr>
            </w:pPr>
          </w:p>
        </w:tc>
      </w:tr>
    </w:tbl>
    <w:p>
      <w:pPr>
        <w:rPr>
          <w:highlight w:val="yellow"/>
        </w:rPr>
      </w:pPr>
    </w:p>
    <w:p>
      <w:pPr>
        <w:spacing w:line="360" w:lineRule="auto"/>
        <w:jc w:val="left"/>
        <w:rPr>
          <w:rFonts w:ascii="宋体" w:hAnsi="宋体"/>
          <w:b/>
          <w:bCs/>
          <w:snapToGrid w:val="0"/>
          <w:kern w:val="0"/>
          <w:sz w:val="24"/>
        </w:rPr>
      </w:pPr>
      <w:r>
        <w:rPr>
          <w:rFonts w:hint="eastAsia" w:ascii="宋体" w:hAnsi="宋体"/>
          <w:b/>
          <w:bCs/>
          <w:snapToGrid w:val="0"/>
          <w:kern w:val="0"/>
          <w:sz w:val="24"/>
        </w:rPr>
        <w:t>注：综合以上分析比较，评委会将对各投标文件进行书面的量化评定，汇总后按得分由高到低确定中标人，并作出评标结论。（评标总得分相同，按投标报价由低到高顺序排列；得分且投标报价相同的，按“综合实力”评分由高到低顺序排列。）</w:t>
      </w:r>
    </w:p>
    <w:p>
      <w:pPr>
        <w:pStyle w:val="4"/>
        <w:rPr>
          <w:sz w:val="24"/>
          <w:szCs w:val="24"/>
        </w:rPr>
      </w:pPr>
      <w:bookmarkStart w:id="59" w:name="_Toc23396"/>
      <w:r>
        <w:rPr>
          <w:rFonts w:hint="eastAsia"/>
          <w:sz w:val="24"/>
          <w:szCs w:val="24"/>
        </w:rPr>
        <w:t>资格后审</w:t>
      </w:r>
      <w:bookmarkEnd w:id="59"/>
    </w:p>
    <w:p>
      <w:pPr>
        <w:numPr>
          <w:ilvl w:val="0"/>
          <w:numId w:val="25"/>
        </w:numPr>
        <w:spacing w:line="276" w:lineRule="auto"/>
        <w:ind w:left="284" w:firstLine="281"/>
        <w:rPr>
          <w:rFonts w:ascii="宋体" w:hAnsi="宋体"/>
          <w:sz w:val="24"/>
        </w:rPr>
      </w:pPr>
      <w:r>
        <w:rPr>
          <w:rFonts w:ascii="宋体" w:hAnsi="宋体"/>
          <w:sz w:val="24"/>
        </w:rPr>
        <w:t>评标委员会将根据招标书中要求按</w:t>
      </w:r>
      <w:r>
        <w:rPr>
          <w:rFonts w:hint="eastAsia" w:ascii="宋体" w:hAnsi="宋体"/>
          <w:sz w:val="24"/>
        </w:rPr>
        <w:t>综合得分</w:t>
      </w:r>
      <w:r>
        <w:rPr>
          <w:rFonts w:ascii="宋体" w:hAnsi="宋体"/>
          <w:sz w:val="24"/>
        </w:rPr>
        <w:t>由</w:t>
      </w:r>
      <w:r>
        <w:rPr>
          <w:rFonts w:hint="eastAsia" w:ascii="宋体" w:hAnsi="宋体"/>
          <w:sz w:val="24"/>
        </w:rPr>
        <w:t>高</w:t>
      </w:r>
      <w:r>
        <w:rPr>
          <w:rFonts w:ascii="宋体" w:hAnsi="宋体"/>
          <w:sz w:val="24"/>
        </w:rPr>
        <w:t>至</w:t>
      </w:r>
      <w:r>
        <w:rPr>
          <w:rFonts w:hint="eastAsia" w:ascii="宋体" w:hAnsi="宋体"/>
          <w:sz w:val="24"/>
        </w:rPr>
        <w:t>低</w:t>
      </w:r>
      <w:r>
        <w:rPr>
          <w:rFonts w:ascii="宋体" w:hAnsi="宋体"/>
          <w:sz w:val="24"/>
        </w:rPr>
        <w:t>的顺序对</w:t>
      </w:r>
      <w:r>
        <w:rPr>
          <w:rFonts w:hint="eastAsia" w:ascii="宋体" w:hAnsi="宋体"/>
          <w:sz w:val="24"/>
        </w:rPr>
        <w:t>综合得分前几位</w:t>
      </w:r>
      <w:r>
        <w:rPr>
          <w:rFonts w:ascii="宋体" w:hAnsi="宋体"/>
          <w:sz w:val="24"/>
        </w:rPr>
        <w:t>的投标人进行资格后审。</w:t>
      </w:r>
    </w:p>
    <w:p>
      <w:pPr>
        <w:numPr>
          <w:ilvl w:val="0"/>
          <w:numId w:val="25"/>
        </w:numPr>
        <w:spacing w:line="276" w:lineRule="auto"/>
        <w:ind w:left="284" w:firstLine="281"/>
        <w:rPr>
          <w:rFonts w:ascii="宋体" w:hAnsi="宋体"/>
          <w:sz w:val="24"/>
        </w:rPr>
      </w:pPr>
      <w:r>
        <w:rPr>
          <w:rFonts w:ascii="宋体" w:hAnsi="宋体"/>
          <w:sz w:val="24"/>
        </w:rPr>
        <w:t>通过资格后审，</w:t>
      </w:r>
      <w:r>
        <w:rPr>
          <w:rFonts w:hint="eastAsia" w:ascii="宋体" w:hAnsi="宋体"/>
          <w:sz w:val="24"/>
        </w:rPr>
        <w:t>按综合得分按高至低排名顺序确定中标人</w:t>
      </w:r>
      <w:r>
        <w:rPr>
          <w:rFonts w:ascii="宋体" w:hAnsi="宋体"/>
          <w:sz w:val="24"/>
        </w:rPr>
        <w:t>；如审查未获通过，评标委员会将拒绝其投标。</w:t>
      </w:r>
      <w:r>
        <w:rPr>
          <w:rFonts w:hint="eastAsia" w:ascii="宋体" w:hAnsi="宋体"/>
          <w:sz w:val="24"/>
        </w:rPr>
        <w:t>综合排名第一位的为第一中标候选人，综合排名第二位的为第二中标候选人。</w:t>
      </w:r>
    </w:p>
    <w:p>
      <w:pPr>
        <w:numPr>
          <w:ilvl w:val="0"/>
          <w:numId w:val="25"/>
        </w:numPr>
        <w:spacing w:line="276" w:lineRule="auto"/>
        <w:ind w:left="284" w:firstLine="281"/>
        <w:rPr>
          <w:rFonts w:ascii="宋体" w:hAnsi="宋体"/>
          <w:sz w:val="24"/>
        </w:rPr>
      </w:pPr>
      <w:r>
        <w:rPr>
          <w:rFonts w:ascii="宋体" w:hAnsi="宋体"/>
          <w:sz w:val="24"/>
        </w:rPr>
        <w:t>评标委员会保留审查中标人是否有能力令人满意地履行合同的权利，包括对中标人的规模、人员、场地、货物等方面的核实或现场考察。如果审查通过，评标委员会将把合同授予该投标人；如果审查没有通过，评标委员会将拒绝其投标，并对下一个候选的投标人能否令人满意地履行合同作类似的审查或重新</w:t>
      </w:r>
      <w:r>
        <w:rPr>
          <w:rFonts w:hint="eastAsia" w:ascii="宋体" w:hAnsi="宋体"/>
          <w:sz w:val="24"/>
        </w:rPr>
        <w:t>招标。</w:t>
      </w:r>
    </w:p>
    <w:p>
      <w:pPr>
        <w:pStyle w:val="4"/>
        <w:rPr>
          <w:sz w:val="24"/>
          <w:szCs w:val="24"/>
        </w:rPr>
      </w:pPr>
      <w:bookmarkStart w:id="60" w:name="_Toc2927"/>
      <w:r>
        <w:rPr>
          <w:rFonts w:hint="eastAsia"/>
          <w:sz w:val="24"/>
          <w:szCs w:val="24"/>
        </w:rPr>
        <w:t>保密及其它注意事项</w:t>
      </w:r>
      <w:bookmarkEnd w:id="60"/>
    </w:p>
    <w:p>
      <w:pPr>
        <w:numPr>
          <w:ilvl w:val="0"/>
          <w:numId w:val="26"/>
        </w:numPr>
        <w:spacing w:line="276" w:lineRule="auto"/>
        <w:ind w:left="284" w:firstLine="281"/>
        <w:rPr>
          <w:rFonts w:ascii="宋体" w:hAnsi="宋体"/>
          <w:sz w:val="24"/>
        </w:rPr>
      </w:pPr>
      <w:r>
        <w:rPr>
          <w:rFonts w:hint="eastAsia" w:ascii="宋体" w:hAnsi="宋体"/>
          <w:sz w:val="24"/>
        </w:rPr>
        <w:t>评标是招标工作的重要环节，评标工作在评委会内独立进行。评委会将遵照评标原则，公正、平等地对待所有投标人。</w:t>
      </w:r>
    </w:p>
    <w:p>
      <w:pPr>
        <w:numPr>
          <w:ilvl w:val="0"/>
          <w:numId w:val="26"/>
        </w:numPr>
        <w:spacing w:line="276" w:lineRule="auto"/>
        <w:ind w:left="284" w:firstLine="281"/>
        <w:rPr>
          <w:rFonts w:ascii="宋体" w:hAnsi="宋体"/>
          <w:sz w:val="24"/>
        </w:rPr>
      </w:pPr>
      <w:r>
        <w:rPr>
          <w:rFonts w:hint="eastAsia" w:ascii="宋体" w:hAnsi="宋体"/>
          <w:sz w:val="24"/>
        </w:rPr>
        <w:t>在开标、投标期间，投标人不得向评委询问评标情况，不得进行旨在影响评标结果的活动。</w:t>
      </w:r>
    </w:p>
    <w:p>
      <w:pPr>
        <w:numPr>
          <w:ilvl w:val="0"/>
          <w:numId w:val="26"/>
        </w:numPr>
        <w:spacing w:line="276" w:lineRule="auto"/>
        <w:ind w:left="284" w:firstLine="281"/>
        <w:rPr>
          <w:rFonts w:ascii="宋体" w:hAnsi="宋体"/>
          <w:sz w:val="24"/>
        </w:rPr>
      </w:pPr>
      <w:r>
        <w:rPr>
          <w:rFonts w:hint="eastAsia" w:ascii="宋体" w:hAnsi="宋体"/>
          <w:sz w:val="24"/>
        </w:rPr>
        <w:t>为保证定标的公正性，在评标过程中，评委不得与投标人私下交换意见。在招标工作结束后，凡与评标情况有接触的任何人</w:t>
      </w:r>
      <w:r>
        <w:rPr>
          <w:rFonts w:ascii="宋体" w:hAnsi="宋体"/>
          <w:sz w:val="24"/>
        </w:rPr>
        <w:t>,</w:t>
      </w:r>
      <w:r>
        <w:rPr>
          <w:rFonts w:hint="eastAsia" w:ascii="宋体" w:hAnsi="宋体"/>
          <w:sz w:val="24"/>
        </w:rPr>
        <w:t>不得也不应将评标情况扩散出评委人员之外。</w:t>
      </w:r>
    </w:p>
    <w:p>
      <w:pPr>
        <w:numPr>
          <w:ilvl w:val="0"/>
          <w:numId w:val="26"/>
        </w:numPr>
        <w:spacing w:line="276" w:lineRule="auto"/>
        <w:ind w:left="284" w:firstLine="281"/>
        <w:rPr>
          <w:rFonts w:ascii="宋体" w:hAnsi="宋体"/>
          <w:sz w:val="24"/>
        </w:rPr>
      </w:pPr>
      <w:r>
        <w:rPr>
          <w:rFonts w:hint="eastAsia" w:ascii="宋体" w:hAnsi="宋体"/>
          <w:sz w:val="24"/>
        </w:rPr>
        <w:t>评委会不向投标人退还投标文件。</w:t>
      </w:r>
    </w:p>
    <w:p>
      <w:pPr>
        <w:pStyle w:val="4"/>
        <w:rPr>
          <w:sz w:val="24"/>
          <w:szCs w:val="24"/>
        </w:rPr>
      </w:pPr>
      <w:bookmarkStart w:id="61" w:name="_Toc6985"/>
      <w:r>
        <w:rPr>
          <w:rFonts w:hint="eastAsia"/>
          <w:sz w:val="24"/>
          <w:szCs w:val="24"/>
        </w:rPr>
        <w:t>评标结果公示</w:t>
      </w:r>
      <w:bookmarkEnd w:id="61"/>
    </w:p>
    <w:p>
      <w:pPr>
        <w:spacing w:line="276" w:lineRule="auto"/>
        <w:ind w:left="284" w:firstLine="280" w:firstLineChars="117"/>
        <w:rPr>
          <w:rFonts w:ascii="宋体" w:hAnsi="宋体"/>
          <w:sz w:val="24"/>
        </w:rPr>
      </w:pPr>
      <w:r>
        <w:rPr>
          <w:rFonts w:hint="eastAsia" w:ascii="宋体" w:hAnsi="宋体"/>
          <w:sz w:val="24"/>
        </w:rPr>
        <w:t>评标结束后，招标人将在</w:t>
      </w:r>
      <w:r>
        <w:fldChar w:fldCharType="begin"/>
      </w:r>
      <w:r>
        <w:instrText xml:space="preserve"> HYPERLINK "http://www.infinova.com" </w:instrText>
      </w:r>
      <w:r>
        <w:fldChar w:fldCharType="separate"/>
      </w:r>
      <w:r>
        <w:rPr>
          <w:rFonts w:ascii="宋体" w:hAnsi="宋体"/>
          <w:sz w:val="24"/>
        </w:rPr>
        <w:t>http://www.infinova.com</w:t>
      </w:r>
      <w:r>
        <w:rPr>
          <w:rFonts w:ascii="宋体" w:hAnsi="宋体"/>
          <w:sz w:val="24"/>
        </w:rPr>
        <w:fldChar w:fldCharType="end"/>
      </w:r>
      <w:r>
        <w:rPr>
          <w:rFonts w:ascii="宋体" w:hAnsi="宋体"/>
          <w:sz w:val="24"/>
        </w:rPr>
        <w:t>.cn</w:t>
      </w:r>
      <w:r>
        <w:rPr>
          <w:rFonts w:hint="eastAsia" w:ascii="宋体" w:hAnsi="宋体"/>
          <w:sz w:val="24"/>
        </w:rPr>
        <w:t>（深圳英飞拓科技股份有限公司网）公示评标结果，公示期为</w:t>
      </w:r>
      <w:r>
        <w:rPr>
          <w:rFonts w:hint="eastAsia" w:ascii="宋体" w:hAnsi="宋体"/>
          <w:b/>
          <w:sz w:val="24"/>
        </w:rPr>
        <w:t>3</w:t>
      </w:r>
      <w:r>
        <w:rPr>
          <w:rFonts w:hint="eastAsia" w:ascii="宋体" w:hAnsi="宋体"/>
          <w:sz w:val="24"/>
        </w:rPr>
        <w:t>个工作日。若投标人对评标结果有异议，可在公示期内以投标人的名义向深圳英飞拓科技股份有限公司审计监察部提出书面质疑。</w:t>
      </w:r>
    </w:p>
    <w:p>
      <w:pPr>
        <w:pStyle w:val="4"/>
        <w:rPr>
          <w:sz w:val="24"/>
          <w:szCs w:val="24"/>
        </w:rPr>
      </w:pPr>
      <w:bookmarkStart w:id="62" w:name="_Toc6264"/>
      <w:r>
        <w:rPr>
          <w:rFonts w:hint="eastAsia"/>
          <w:sz w:val="24"/>
          <w:szCs w:val="24"/>
        </w:rPr>
        <w:t>授予合同</w:t>
      </w:r>
      <w:bookmarkEnd w:id="62"/>
    </w:p>
    <w:p>
      <w:pPr>
        <w:pStyle w:val="4"/>
        <w:rPr>
          <w:sz w:val="24"/>
          <w:szCs w:val="24"/>
        </w:rPr>
      </w:pPr>
      <w:bookmarkStart w:id="63" w:name="_Toc13474"/>
      <w:r>
        <w:rPr>
          <w:rFonts w:hint="eastAsia"/>
          <w:sz w:val="24"/>
          <w:szCs w:val="24"/>
        </w:rPr>
        <w:t>授标时更改服务数量的权利</w:t>
      </w:r>
      <w:bookmarkEnd w:id="63"/>
    </w:p>
    <w:p>
      <w:pPr>
        <w:spacing w:line="276" w:lineRule="auto"/>
        <w:ind w:left="284" w:firstLine="280" w:firstLineChars="117"/>
        <w:rPr>
          <w:rFonts w:ascii="宋体" w:hAnsi="宋体"/>
          <w:b/>
          <w:bCs/>
          <w:sz w:val="24"/>
        </w:rPr>
      </w:pPr>
      <w:r>
        <w:rPr>
          <w:rFonts w:hint="eastAsia" w:ascii="宋体" w:hAnsi="宋体"/>
          <w:sz w:val="24"/>
        </w:rPr>
        <w:t>招标人在授予合同时有权对“招标项目要求”中规定的服务数量予以增加或减少，但不得对单价或其它的条款和条件做任何改变。</w:t>
      </w:r>
    </w:p>
    <w:p>
      <w:pPr>
        <w:pStyle w:val="4"/>
        <w:rPr>
          <w:sz w:val="24"/>
          <w:szCs w:val="24"/>
        </w:rPr>
      </w:pPr>
      <w:bookmarkStart w:id="64" w:name="_Toc5936"/>
      <w:r>
        <w:rPr>
          <w:rFonts w:hint="eastAsia"/>
          <w:sz w:val="24"/>
          <w:szCs w:val="24"/>
        </w:rPr>
        <w:t>中标通知书</w:t>
      </w:r>
      <w:bookmarkEnd w:id="64"/>
    </w:p>
    <w:p>
      <w:pPr>
        <w:numPr>
          <w:ilvl w:val="0"/>
          <w:numId w:val="27"/>
        </w:numPr>
        <w:spacing w:line="276" w:lineRule="auto"/>
        <w:ind w:left="845" w:hanging="280"/>
        <w:rPr>
          <w:rFonts w:ascii="宋体" w:hAnsi="宋体"/>
          <w:bCs/>
          <w:sz w:val="24"/>
        </w:rPr>
      </w:pPr>
      <w:r>
        <w:rPr>
          <w:rFonts w:hint="eastAsia" w:ascii="宋体" w:hAnsi="宋体"/>
          <w:sz w:val="24"/>
        </w:rPr>
        <w:t>中标人确定后，招标人将向中标人发出中标通知书。</w:t>
      </w:r>
    </w:p>
    <w:p>
      <w:pPr>
        <w:numPr>
          <w:ilvl w:val="0"/>
          <w:numId w:val="27"/>
        </w:numPr>
        <w:spacing w:line="276" w:lineRule="auto"/>
        <w:ind w:left="284" w:firstLine="281"/>
        <w:rPr>
          <w:rFonts w:ascii="宋体" w:hAnsi="宋体"/>
          <w:bCs/>
          <w:sz w:val="24"/>
        </w:rPr>
      </w:pPr>
      <w:r>
        <w:rPr>
          <w:rFonts w:hint="eastAsia" w:ascii="宋体" w:hAnsi="宋体"/>
          <w:sz w:val="24"/>
        </w:rPr>
        <w:t>中标通知书作为合同附件，是合同的一个组成部分。</w:t>
      </w:r>
    </w:p>
    <w:p>
      <w:pPr>
        <w:pStyle w:val="4"/>
        <w:rPr>
          <w:sz w:val="24"/>
          <w:szCs w:val="24"/>
        </w:rPr>
      </w:pPr>
      <w:bookmarkStart w:id="65" w:name="_Toc13266"/>
      <w:r>
        <w:rPr>
          <w:rFonts w:hint="eastAsia"/>
          <w:sz w:val="24"/>
          <w:szCs w:val="24"/>
        </w:rPr>
        <w:t>中标结果公告</w:t>
      </w:r>
      <w:bookmarkEnd w:id="65"/>
    </w:p>
    <w:p>
      <w:pPr>
        <w:numPr>
          <w:ilvl w:val="0"/>
          <w:numId w:val="28"/>
        </w:numPr>
        <w:spacing w:line="276" w:lineRule="auto"/>
        <w:rPr>
          <w:rFonts w:ascii="宋体" w:hAnsi="宋体"/>
          <w:b/>
          <w:bCs/>
          <w:sz w:val="24"/>
        </w:rPr>
      </w:pPr>
      <w:r>
        <w:rPr>
          <w:rFonts w:hint="eastAsia" w:ascii="宋体" w:hAnsi="宋体"/>
          <w:sz w:val="24"/>
        </w:rPr>
        <w:t>评标结果公示期满，招标人、投标人、有关部门无质疑，或质疑已处理完毕后，招标人将在</w:t>
      </w:r>
      <w:r>
        <w:fldChar w:fldCharType="begin"/>
      </w:r>
      <w:r>
        <w:instrText xml:space="preserve"> HYPERLINK "http://www.infinova.com" </w:instrText>
      </w:r>
      <w:r>
        <w:fldChar w:fldCharType="separate"/>
      </w:r>
      <w:r>
        <w:rPr>
          <w:rFonts w:ascii="宋体" w:hAnsi="宋体"/>
          <w:sz w:val="24"/>
        </w:rPr>
        <w:t>http://www.infinova.com</w:t>
      </w:r>
      <w:r>
        <w:rPr>
          <w:rFonts w:ascii="宋体" w:hAnsi="宋体"/>
          <w:sz w:val="24"/>
        </w:rPr>
        <w:fldChar w:fldCharType="end"/>
      </w:r>
      <w:r>
        <w:rPr>
          <w:rFonts w:ascii="宋体" w:hAnsi="宋体"/>
          <w:sz w:val="24"/>
        </w:rPr>
        <w:t>.cn</w:t>
      </w:r>
      <w:r>
        <w:rPr>
          <w:rFonts w:hint="eastAsia" w:ascii="宋体" w:hAnsi="宋体"/>
          <w:sz w:val="24"/>
        </w:rPr>
        <w:t>（深圳英飞拓科技股份有限公司网）发布中标结果公告。</w:t>
      </w:r>
    </w:p>
    <w:p>
      <w:pPr>
        <w:numPr>
          <w:ilvl w:val="0"/>
          <w:numId w:val="28"/>
        </w:numPr>
        <w:spacing w:line="276" w:lineRule="auto"/>
        <w:rPr>
          <w:rFonts w:ascii="宋体" w:hAnsi="宋体"/>
          <w:sz w:val="24"/>
        </w:rPr>
      </w:pPr>
      <w:r>
        <w:rPr>
          <w:rFonts w:hint="eastAsia" w:ascii="宋体" w:hAnsi="宋体"/>
          <w:sz w:val="24"/>
        </w:rPr>
        <w:t>发出中标通知书之日起1个月内，若招标人或有关监督部门接到投诉或发现如下情况，招标人有权向深圳英飞拓科技股份有限公司审计监察部报告，经有关部门批准，取消原中标人中标资格并保留进一步追究其法律责任的权利。这些情况包括但不仅限于：</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中标人与其他投标人串通进行投标的；</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中标人拒绝执行招标文件的要求和其投标文件的承诺；</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中标人拒绝以中标通知书、投标文件、招标文件、招标答疑函为依据签订合同的；</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中标人以他人名义进行投标的；</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中标人弄虚作假骗取中标的；</w:t>
      </w:r>
    </w:p>
    <w:p>
      <w:pPr>
        <w:numPr>
          <w:ilvl w:val="2"/>
          <w:numId w:val="29"/>
        </w:numPr>
        <w:tabs>
          <w:tab w:val="left" w:pos="993"/>
        </w:tabs>
        <w:spacing w:before="50" w:after="50" w:line="276" w:lineRule="auto"/>
        <w:ind w:left="1560"/>
        <w:rPr>
          <w:rFonts w:ascii="宋体" w:hAnsi="宋体"/>
          <w:spacing w:val="-2"/>
          <w:sz w:val="24"/>
        </w:rPr>
      </w:pPr>
      <w:r>
        <w:rPr>
          <w:rFonts w:hint="eastAsia" w:ascii="宋体" w:hAnsi="宋体"/>
          <w:spacing w:val="-2"/>
          <w:sz w:val="24"/>
        </w:rPr>
        <w:t>中标人违反法律、法规及有关文件规定，损害投标人利益和社会关系的。</w:t>
      </w:r>
    </w:p>
    <w:p>
      <w:pPr>
        <w:numPr>
          <w:ilvl w:val="0"/>
          <w:numId w:val="28"/>
        </w:numPr>
        <w:spacing w:line="276" w:lineRule="auto"/>
        <w:rPr>
          <w:rFonts w:ascii="宋体" w:hAnsi="宋体"/>
          <w:sz w:val="24"/>
        </w:rPr>
      </w:pPr>
      <w:r>
        <w:rPr>
          <w:rFonts w:hint="eastAsia" w:ascii="宋体" w:hAnsi="宋体"/>
          <w:sz w:val="24"/>
        </w:rPr>
        <w:t>投标人若在中标后，对工作量提出附加要求或要求修改中标价的，招标人有权取消其中标资格。</w:t>
      </w:r>
    </w:p>
    <w:p>
      <w:pPr>
        <w:pStyle w:val="4"/>
        <w:rPr>
          <w:sz w:val="24"/>
          <w:szCs w:val="24"/>
        </w:rPr>
      </w:pPr>
      <w:bookmarkStart w:id="66" w:name="_Toc5301"/>
      <w:r>
        <w:rPr>
          <w:rFonts w:hint="eastAsia"/>
          <w:sz w:val="24"/>
          <w:szCs w:val="24"/>
        </w:rPr>
        <w:t>签订合同</w:t>
      </w:r>
      <w:bookmarkEnd w:id="66"/>
    </w:p>
    <w:p>
      <w:pPr>
        <w:numPr>
          <w:ilvl w:val="0"/>
          <w:numId w:val="30"/>
        </w:numPr>
        <w:spacing w:line="276" w:lineRule="auto"/>
        <w:ind w:left="848" w:hanging="280"/>
        <w:rPr>
          <w:rFonts w:ascii="宋体" w:hAnsi="宋体"/>
          <w:sz w:val="24"/>
        </w:rPr>
      </w:pPr>
      <w:r>
        <w:rPr>
          <w:rFonts w:hint="eastAsia" w:ascii="宋体" w:hAnsi="宋体"/>
          <w:sz w:val="24"/>
        </w:rPr>
        <w:t>中标人应按《中标通知书》指定的时间、地点与招标人签订合同。</w:t>
      </w:r>
    </w:p>
    <w:p>
      <w:pPr>
        <w:numPr>
          <w:ilvl w:val="0"/>
          <w:numId w:val="30"/>
        </w:numPr>
        <w:spacing w:line="276" w:lineRule="auto"/>
        <w:ind w:left="851" w:hanging="283"/>
        <w:rPr>
          <w:rFonts w:ascii="宋体" w:hAnsi="宋体"/>
          <w:sz w:val="24"/>
        </w:rPr>
      </w:pPr>
      <w:r>
        <w:rPr>
          <w:rFonts w:hint="eastAsia" w:ascii="宋体" w:hAnsi="宋体"/>
          <w:sz w:val="24"/>
        </w:rPr>
        <w:t>“招标文件”、中标人的“投标文件”及其澄清文件等，均为签订经济合同的依据。</w:t>
      </w:r>
    </w:p>
    <w:p>
      <w:pPr>
        <w:numPr>
          <w:ilvl w:val="0"/>
          <w:numId w:val="30"/>
        </w:numPr>
        <w:spacing w:line="276" w:lineRule="auto"/>
        <w:ind w:left="851" w:hanging="284"/>
        <w:rPr>
          <w:rFonts w:ascii="宋体" w:hAnsi="宋体"/>
          <w:sz w:val="24"/>
        </w:rPr>
      </w:pPr>
      <w:r>
        <w:rPr>
          <w:rFonts w:hint="eastAsia" w:ascii="宋体" w:hAnsi="宋体"/>
          <w:sz w:val="24"/>
        </w:rPr>
        <w:t>备选中标人作为补充，当有中标人不能如期履行采购合同时，招标人可向备选中标人采购本次招标相同</w:t>
      </w:r>
      <w:r>
        <w:rPr>
          <w:rFonts w:hint="eastAsia" w:ascii="宋体" w:hAnsi="宋体"/>
          <w:sz w:val="24"/>
          <w:lang w:val="en-US" w:eastAsia="zh-CN"/>
        </w:rPr>
        <w:t>服务</w:t>
      </w:r>
      <w:r>
        <w:rPr>
          <w:rFonts w:hint="eastAsia" w:ascii="宋体" w:hAnsi="宋体"/>
          <w:sz w:val="24"/>
        </w:rPr>
        <w:t>。</w:t>
      </w:r>
    </w:p>
    <w:p>
      <w:pPr>
        <w:pStyle w:val="4"/>
        <w:rPr>
          <w:sz w:val="24"/>
          <w:szCs w:val="24"/>
        </w:rPr>
      </w:pPr>
      <w:bookmarkStart w:id="67" w:name="_Hlk71894268"/>
      <w:bookmarkStart w:id="68" w:name="_Toc674"/>
      <w:r>
        <w:rPr>
          <w:rFonts w:hint="eastAsia"/>
          <w:sz w:val="24"/>
          <w:szCs w:val="24"/>
        </w:rPr>
        <w:t>履约</w:t>
      </w:r>
      <w:bookmarkEnd w:id="67"/>
      <w:r>
        <w:rPr>
          <w:rFonts w:hint="eastAsia"/>
          <w:sz w:val="24"/>
          <w:szCs w:val="24"/>
        </w:rPr>
        <w:t>保证金</w:t>
      </w:r>
      <w:bookmarkEnd w:id="68"/>
    </w:p>
    <w:p>
      <w:pPr>
        <w:autoSpaceDE w:val="0"/>
        <w:autoSpaceDN w:val="0"/>
        <w:adjustRightInd w:val="0"/>
        <w:snapToGrid w:val="0"/>
        <w:ind w:firstLine="480" w:firstLineChars="200"/>
        <w:rPr>
          <w:rFonts w:ascii="宋体" w:hAnsi="宋体"/>
          <w:sz w:val="24"/>
        </w:rPr>
      </w:pPr>
      <w:r>
        <w:rPr>
          <w:rFonts w:hint="eastAsia" w:ascii="宋体" w:hAnsi="宋体"/>
          <w:sz w:val="24"/>
        </w:rPr>
        <w:t>无。</w:t>
      </w:r>
    </w:p>
    <w:p>
      <w:pPr>
        <w:pStyle w:val="4"/>
        <w:rPr>
          <w:sz w:val="24"/>
          <w:szCs w:val="24"/>
        </w:rPr>
      </w:pPr>
      <w:bookmarkStart w:id="69" w:name="_Toc10312"/>
      <w:r>
        <w:rPr>
          <w:rFonts w:hint="eastAsia"/>
          <w:sz w:val="24"/>
          <w:szCs w:val="24"/>
        </w:rPr>
        <w:t>接受和拒绝任何或所有投标的权力</w:t>
      </w:r>
      <w:bookmarkEnd w:id="69"/>
    </w:p>
    <w:p>
      <w:pPr>
        <w:spacing w:line="276" w:lineRule="auto"/>
        <w:ind w:left="284" w:firstLine="400" w:firstLineChars="167"/>
        <w:rPr>
          <w:rFonts w:ascii="宋体" w:hAnsi="宋体"/>
          <w:b/>
          <w:sz w:val="24"/>
        </w:rPr>
      </w:pPr>
      <w:r>
        <w:rPr>
          <w:rFonts w:hint="eastAsia" w:ascii="宋体" w:hAnsi="宋体"/>
          <w:sz w:val="24"/>
        </w:rPr>
        <w:t>招标人保留在授标之前任何时候接受或拒绝任何投标，以及宣布招标程序无效或拒绝所有投标的权力，对受影响的投标人不承担任何责任，也无义务向受影响的投标人解释采取这一行动的理由。</w:t>
      </w:r>
    </w:p>
    <w:p>
      <w:pPr>
        <w:pStyle w:val="3"/>
      </w:pPr>
      <w:bookmarkStart w:id="70" w:name="_Toc17794"/>
      <w:r>
        <w:rPr>
          <w:rFonts w:hint="eastAsia"/>
        </w:rPr>
        <w:t>合同格式</w:t>
      </w:r>
      <w:bookmarkEnd w:id="70"/>
    </w:p>
    <w:p>
      <w:pPr>
        <w:spacing w:before="312" w:beforeLines="100" w:after="312" w:afterLines="100" w:line="440" w:lineRule="exact"/>
        <w:jc w:val="center"/>
        <w:rPr>
          <w:rFonts w:ascii="Times New Roman" w:hAnsi="Times New Roman"/>
          <w:b/>
          <w:sz w:val="28"/>
          <w:szCs w:val="28"/>
        </w:rPr>
      </w:pPr>
      <w:r>
        <w:rPr>
          <w:rFonts w:hint="eastAsia" w:ascii="宋体" w:hAnsi="宋体"/>
          <w:b/>
          <w:sz w:val="24"/>
        </w:rPr>
        <w:t>（附件10：</w:t>
      </w:r>
      <w:r>
        <w:rPr>
          <w:rFonts w:hint="eastAsia" w:ascii="Times New Roman" w:hAnsi="Times New Roman"/>
          <w:b/>
          <w:bCs/>
          <w:sz w:val="24"/>
        </w:rPr>
        <w:t>生态环境科技产业园生态环保专项咨询服务合同）</w:t>
      </w:r>
    </w:p>
    <w:p>
      <w:pPr>
        <w:spacing w:line="360" w:lineRule="auto"/>
        <w:rPr>
          <w:rFonts w:ascii="宋体" w:hAnsi="宋体"/>
          <w:sz w:val="24"/>
        </w:rPr>
      </w:pPr>
    </w:p>
    <w:p>
      <w:pPr>
        <w:pStyle w:val="34"/>
        <w:spacing w:line="360" w:lineRule="auto"/>
        <w:ind w:firstLine="482"/>
        <w:rPr>
          <w:rFonts w:ascii="宋体" w:hAnsi="宋体" w:eastAsia="宋体"/>
          <w:b/>
          <w:sz w:val="24"/>
          <w:szCs w:val="24"/>
        </w:rPr>
      </w:pPr>
    </w:p>
    <w:p>
      <w:pPr>
        <w:spacing w:line="360" w:lineRule="auto"/>
        <w:rPr>
          <w:rFonts w:ascii="宋体" w:hAnsi="宋体" w:cs="宋体"/>
          <w:sz w:val="24"/>
        </w:rPr>
      </w:pPr>
    </w:p>
    <w:p>
      <w:pPr>
        <w:spacing w:line="360" w:lineRule="auto"/>
        <w:rPr>
          <w:rFonts w:ascii="宋体" w:hAnsi="宋体"/>
          <w:b/>
          <w:sz w:val="24"/>
        </w:rPr>
      </w:pPr>
    </w:p>
    <w:p>
      <w:pPr>
        <w:pStyle w:val="3"/>
      </w:pPr>
      <w:bookmarkStart w:id="71" w:name="_Toc28165"/>
      <w:r>
        <w:rPr>
          <w:rFonts w:hint="eastAsia"/>
        </w:rPr>
        <w:t>投标文件目录</w:t>
      </w:r>
      <w:bookmarkEnd w:id="71"/>
    </w:p>
    <w:p>
      <w:pPr>
        <w:pStyle w:val="4"/>
        <w:numPr>
          <w:ilvl w:val="0"/>
          <w:numId w:val="0"/>
        </w:numPr>
        <w:ind w:left="576" w:hanging="576"/>
        <w:rPr>
          <w:sz w:val="24"/>
          <w:szCs w:val="24"/>
        </w:rPr>
      </w:pPr>
      <w:bookmarkStart w:id="72" w:name="_Toc13278"/>
      <w:r>
        <w:rPr>
          <w:rFonts w:hint="eastAsia"/>
          <w:sz w:val="24"/>
          <w:szCs w:val="24"/>
        </w:rPr>
        <w:t>附件１：投</w:t>
      </w:r>
      <w:r>
        <w:rPr>
          <w:sz w:val="24"/>
          <w:szCs w:val="24"/>
        </w:rPr>
        <w:t xml:space="preserve"> </w:t>
      </w:r>
      <w:r>
        <w:rPr>
          <w:rFonts w:hint="eastAsia"/>
          <w:sz w:val="24"/>
          <w:szCs w:val="24"/>
        </w:rPr>
        <w:t>标</w:t>
      </w:r>
      <w:r>
        <w:rPr>
          <w:sz w:val="24"/>
          <w:szCs w:val="24"/>
        </w:rPr>
        <w:t xml:space="preserve"> </w:t>
      </w:r>
      <w:r>
        <w:rPr>
          <w:rFonts w:hint="eastAsia"/>
          <w:sz w:val="24"/>
          <w:szCs w:val="24"/>
        </w:rPr>
        <w:t>书</w:t>
      </w:r>
      <w:bookmarkEnd w:id="72"/>
    </w:p>
    <w:p>
      <w:pPr>
        <w:spacing w:line="360" w:lineRule="auto"/>
        <w:rPr>
          <w:rFonts w:ascii="宋体" w:hAnsi="宋体"/>
          <w:sz w:val="24"/>
        </w:rPr>
      </w:pPr>
      <w:r>
        <w:rPr>
          <w:rFonts w:hint="eastAsia" w:ascii="宋体" w:hAnsi="宋体"/>
          <w:sz w:val="24"/>
        </w:rPr>
        <w:t>致：深圳英飞拓智园科技有限公司</w:t>
      </w:r>
    </w:p>
    <w:p>
      <w:pPr>
        <w:spacing w:line="360" w:lineRule="exact"/>
        <w:ind w:right="542" w:rightChars="258" w:firstLine="720" w:firstLineChars="300"/>
        <w:rPr>
          <w:rFonts w:ascii="宋体" w:hAnsi="宋体"/>
          <w:sz w:val="24"/>
        </w:rPr>
      </w:pPr>
      <w:r>
        <w:rPr>
          <w:rFonts w:hint="eastAsia" w:ascii="宋体" w:hAnsi="宋体"/>
          <w:sz w:val="24"/>
        </w:rPr>
        <w:t>根据贵方为</w:t>
      </w:r>
      <w:r>
        <w:rPr>
          <w:rFonts w:hint="eastAsia" w:ascii="宋体" w:hAnsi="宋体"/>
          <w:sz w:val="24"/>
          <w:u w:val="single"/>
        </w:rPr>
        <w:t xml:space="preserve">              </w:t>
      </w:r>
      <w:r>
        <w:rPr>
          <w:rFonts w:hint="eastAsia" w:ascii="宋体" w:hAnsi="宋体"/>
          <w:sz w:val="24"/>
        </w:rPr>
        <w:t xml:space="preserve">项目的招标公告（招标编号为 </w:t>
      </w:r>
      <w:r>
        <w:rPr>
          <w:rFonts w:hint="eastAsia" w:ascii="宋体" w:hAnsi="宋体"/>
          <w:sz w:val="24"/>
          <w:u w:val="single"/>
        </w:rPr>
        <w:t xml:space="preserve">       </w:t>
      </w:r>
      <w:r>
        <w:rPr>
          <w:rFonts w:hint="eastAsia" w:ascii="宋体" w:hAnsi="宋体"/>
          <w:sz w:val="24"/>
        </w:rPr>
        <w:t>），签字代表</w:t>
      </w:r>
      <w:r>
        <w:rPr>
          <w:rFonts w:ascii="宋体" w:hAnsi="宋体"/>
          <w:sz w:val="24"/>
          <w:u w:val="single"/>
        </w:rPr>
        <w:t xml:space="preserve">        </w:t>
      </w:r>
      <w:r>
        <w:rPr>
          <w:rFonts w:ascii="宋体" w:hAnsi="宋体"/>
          <w:sz w:val="24"/>
        </w:rPr>
        <w:t xml:space="preserve"> </w:t>
      </w:r>
      <w:r>
        <w:rPr>
          <w:rFonts w:hint="eastAsia" w:ascii="宋体" w:hAnsi="宋体"/>
          <w:sz w:val="24"/>
        </w:rPr>
        <w:t>（全名、职务）经正式授权并代表投标人</w:t>
      </w:r>
      <w:r>
        <w:rPr>
          <w:rFonts w:ascii="宋体" w:hAnsi="宋体"/>
          <w:sz w:val="24"/>
          <w:u w:val="single"/>
        </w:rPr>
        <w:t xml:space="preserve">                  </w:t>
      </w:r>
      <w:r>
        <w:rPr>
          <w:rFonts w:ascii="宋体" w:hAnsi="宋体"/>
          <w:sz w:val="24"/>
        </w:rPr>
        <w:t xml:space="preserve"> </w:t>
      </w:r>
      <w:r>
        <w:rPr>
          <w:rFonts w:hint="eastAsia" w:ascii="宋体" w:hAnsi="宋体"/>
          <w:sz w:val="24"/>
        </w:rPr>
        <w:t>（投标人名称、地址）提交下述文件正本一份和副本四份。</w:t>
      </w:r>
    </w:p>
    <w:p>
      <w:pPr>
        <w:pStyle w:val="2"/>
        <w:rPr>
          <w:rFonts w:hint="default" w:hAnsi="宋体"/>
          <w:sz w:val="24"/>
        </w:rPr>
      </w:pPr>
      <w:r>
        <w:rPr>
          <w:rFonts w:hAnsi="宋体"/>
          <w:sz w:val="24"/>
        </w:rPr>
        <w:t>（１）投标书；</w:t>
      </w:r>
    </w:p>
    <w:p>
      <w:pPr>
        <w:pStyle w:val="2"/>
        <w:rPr>
          <w:rFonts w:hint="default" w:hAnsi="宋体"/>
          <w:sz w:val="24"/>
        </w:rPr>
      </w:pPr>
      <w:r>
        <w:rPr>
          <w:rFonts w:hAnsi="宋体"/>
          <w:sz w:val="24"/>
        </w:rPr>
        <w:t>（２）投标廉政承诺书；</w:t>
      </w:r>
    </w:p>
    <w:p>
      <w:pPr>
        <w:pStyle w:val="2"/>
        <w:rPr>
          <w:rFonts w:hint="default" w:hAnsi="宋体"/>
          <w:sz w:val="24"/>
        </w:rPr>
      </w:pPr>
      <w:r>
        <w:rPr>
          <w:rFonts w:hAnsi="宋体"/>
          <w:sz w:val="24"/>
        </w:rPr>
        <w:t>（３）开标一览表；</w:t>
      </w:r>
    </w:p>
    <w:p>
      <w:pPr>
        <w:pStyle w:val="2"/>
        <w:rPr>
          <w:rFonts w:hint="default" w:hAnsi="宋体"/>
          <w:sz w:val="24"/>
        </w:rPr>
      </w:pPr>
      <w:r>
        <w:rPr>
          <w:rFonts w:hAnsi="宋体"/>
          <w:sz w:val="24"/>
        </w:rPr>
        <w:t>（４）分项报价清单；</w:t>
      </w:r>
    </w:p>
    <w:p>
      <w:pPr>
        <w:pStyle w:val="2"/>
        <w:rPr>
          <w:rFonts w:hint="default" w:hAnsi="宋体"/>
          <w:sz w:val="24"/>
        </w:rPr>
      </w:pPr>
      <w:r>
        <w:rPr>
          <w:rFonts w:hAnsi="宋体"/>
          <w:sz w:val="24"/>
        </w:rPr>
        <w:t>（５）招标服务条款偏离表；</w:t>
      </w:r>
    </w:p>
    <w:p>
      <w:pPr>
        <w:pStyle w:val="2"/>
        <w:rPr>
          <w:rFonts w:hint="default" w:hAnsi="宋体"/>
          <w:sz w:val="24"/>
        </w:rPr>
      </w:pPr>
      <w:r>
        <w:rPr>
          <w:rFonts w:hAnsi="宋体"/>
          <w:sz w:val="24"/>
        </w:rPr>
        <w:t>（６）全套资格证明文件；</w:t>
      </w:r>
    </w:p>
    <w:p>
      <w:pPr>
        <w:pStyle w:val="2"/>
        <w:rPr>
          <w:rFonts w:hint="default" w:hAnsi="宋体"/>
          <w:sz w:val="24"/>
        </w:rPr>
      </w:pPr>
      <w:r>
        <w:rPr>
          <w:rFonts w:hAnsi="宋体"/>
          <w:sz w:val="24"/>
        </w:rPr>
        <w:t>（７）投标单位基本情况介绍，拟指定项目负责人介绍（格式自拟）；</w:t>
      </w:r>
    </w:p>
    <w:p>
      <w:pPr>
        <w:pStyle w:val="2"/>
        <w:rPr>
          <w:rFonts w:hint="default" w:hAnsi="宋体"/>
          <w:sz w:val="24"/>
        </w:rPr>
      </w:pPr>
      <w:r>
        <w:rPr>
          <w:rFonts w:hAnsi="宋体"/>
          <w:sz w:val="24"/>
        </w:rPr>
        <w:t>（８）项目实施方案（格式自拟）；</w:t>
      </w:r>
    </w:p>
    <w:p>
      <w:pPr>
        <w:pStyle w:val="2"/>
        <w:rPr>
          <w:rFonts w:hint="default"/>
        </w:rPr>
      </w:pPr>
      <w:r>
        <w:rPr>
          <w:rFonts w:hAnsi="宋体"/>
          <w:sz w:val="24"/>
        </w:rPr>
        <w:t>（９）其他投标人认为需增加的内容（如其他承诺）。</w:t>
      </w:r>
    </w:p>
    <w:p>
      <w:pPr>
        <w:spacing w:line="360" w:lineRule="exact"/>
        <w:rPr>
          <w:rFonts w:ascii="宋体" w:hAnsi="宋体"/>
          <w:sz w:val="24"/>
        </w:rPr>
      </w:pPr>
    </w:p>
    <w:p>
      <w:pPr>
        <w:spacing w:line="360" w:lineRule="exact"/>
        <w:ind w:firstLine="360" w:firstLineChars="150"/>
        <w:rPr>
          <w:rFonts w:ascii="宋体" w:hAnsi="宋体"/>
          <w:sz w:val="24"/>
        </w:rPr>
      </w:pPr>
      <w:r>
        <w:rPr>
          <w:rFonts w:hint="eastAsia" w:ascii="宋体" w:hAnsi="宋体"/>
          <w:sz w:val="24"/>
        </w:rPr>
        <w:t>据此函，签字代表宣布同意如下：</w:t>
      </w:r>
    </w:p>
    <w:p>
      <w:pPr>
        <w:numPr>
          <w:ilvl w:val="0"/>
          <w:numId w:val="31"/>
        </w:numPr>
        <w:spacing w:line="360" w:lineRule="exact"/>
        <w:ind w:firstLine="6"/>
        <w:rPr>
          <w:rFonts w:ascii="宋体" w:hAnsi="宋体"/>
          <w:sz w:val="24"/>
        </w:rPr>
      </w:pPr>
      <w:r>
        <w:rPr>
          <w:rFonts w:hint="eastAsia" w:ascii="宋体" w:hAnsi="宋体"/>
          <w:sz w:val="24"/>
        </w:rPr>
        <w:t>我方将按招标文件的规定履行合同责任和义务。</w:t>
      </w:r>
    </w:p>
    <w:p>
      <w:pPr>
        <w:numPr>
          <w:ilvl w:val="0"/>
          <w:numId w:val="31"/>
        </w:numPr>
        <w:spacing w:line="360" w:lineRule="exact"/>
        <w:ind w:firstLine="6"/>
        <w:rPr>
          <w:rFonts w:ascii="宋体" w:hAnsi="宋体"/>
          <w:sz w:val="24"/>
        </w:rPr>
      </w:pPr>
      <w:r>
        <w:rPr>
          <w:rFonts w:hint="eastAsia" w:ascii="宋体" w:hAnsi="宋体"/>
          <w:sz w:val="24"/>
        </w:rPr>
        <w:t>我方已详细审查全部招标文件，包括修改文件（如有的话），及有关附件，我们完全理解并同意放弃对这方面有不明及误解的权利。</w:t>
      </w:r>
    </w:p>
    <w:p>
      <w:pPr>
        <w:numPr>
          <w:ilvl w:val="0"/>
          <w:numId w:val="31"/>
        </w:numPr>
        <w:spacing w:line="360" w:lineRule="exact"/>
        <w:ind w:firstLine="6"/>
        <w:rPr>
          <w:rFonts w:ascii="宋体" w:hAnsi="宋体"/>
          <w:sz w:val="24"/>
        </w:rPr>
      </w:pPr>
      <w:r>
        <w:rPr>
          <w:rFonts w:hint="eastAsia" w:ascii="宋体" w:hAnsi="宋体"/>
          <w:sz w:val="24"/>
        </w:rPr>
        <w:t>本投标有效期为自开标起</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个日历日</w:t>
      </w:r>
      <w:r>
        <w:rPr>
          <w:rFonts w:hint="eastAsia" w:ascii="宋体" w:hAnsi="宋体"/>
          <w:kern w:val="0"/>
          <w:sz w:val="24"/>
        </w:rPr>
        <w:t>，若中标，有效期将延至所签订框架合同截止日。</w:t>
      </w:r>
    </w:p>
    <w:p>
      <w:pPr>
        <w:numPr>
          <w:ilvl w:val="0"/>
          <w:numId w:val="31"/>
        </w:numPr>
        <w:spacing w:line="360" w:lineRule="exact"/>
        <w:ind w:firstLine="6"/>
        <w:rPr>
          <w:rFonts w:ascii="宋体" w:hAnsi="宋体"/>
          <w:sz w:val="24"/>
        </w:rPr>
      </w:pPr>
      <w:r>
        <w:rPr>
          <w:rFonts w:hint="eastAsia" w:ascii="宋体" w:hAnsi="宋体"/>
          <w:sz w:val="24"/>
        </w:rPr>
        <w:t>我方保证提供的所有资料和证明真实可靠，如有弄虚作假，将承担相应的法律责任，并赔偿由此造成的一切损失。</w:t>
      </w:r>
    </w:p>
    <w:p>
      <w:pPr>
        <w:numPr>
          <w:ilvl w:val="0"/>
          <w:numId w:val="31"/>
        </w:numPr>
        <w:spacing w:line="360" w:lineRule="exact"/>
        <w:ind w:firstLine="6"/>
        <w:rPr>
          <w:rFonts w:ascii="宋体" w:hAnsi="宋体"/>
          <w:sz w:val="24"/>
        </w:rPr>
      </w:pPr>
      <w:r>
        <w:rPr>
          <w:rFonts w:hint="eastAsia" w:ascii="宋体" w:hAnsi="宋体"/>
          <w:sz w:val="24"/>
        </w:rPr>
        <w:t>我方同意提供按照贵方可能要求的与其投标有关的一切数据或资料，完全理解贵方不一定接受最低价的投标或收到的任何投标。</w:t>
      </w:r>
    </w:p>
    <w:p>
      <w:pPr>
        <w:numPr>
          <w:ilvl w:val="0"/>
          <w:numId w:val="31"/>
        </w:numPr>
        <w:spacing w:line="360" w:lineRule="exact"/>
        <w:ind w:firstLine="6"/>
        <w:rPr>
          <w:rFonts w:ascii="宋体" w:hAnsi="宋体"/>
          <w:sz w:val="24"/>
        </w:rPr>
      </w:pPr>
      <w:r>
        <w:rPr>
          <w:rFonts w:hint="eastAsia" w:ascii="宋体" w:hAnsi="宋体"/>
          <w:sz w:val="24"/>
        </w:rPr>
        <w:t>与本投标有关的一切正式文件往来通讯请寄：</w:t>
      </w:r>
    </w:p>
    <w:p>
      <w:pPr>
        <w:spacing w:before="120" w:line="360" w:lineRule="exact"/>
        <w:ind w:firstLine="420"/>
        <w:rPr>
          <w:rFonts w:ascii="宋体" w:hAnsi="宋体"/>
          <w:sz w:val="24"/>
        </w:rPr>
      </w:pPr>
      <w:r>
        <w:rPr>
          <w:rFonts w:hint="eastAsia" w:ascii="宋体" w:hAnsi="宋体"/>
          <w:sz w:val="24"/>
        </w:rPr>
        <w:t>地址：</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邮编</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before="120" w:line="360" w:lineRule="exact"/>
        <w:ind w:firstLine="420"/>
        <w:rPr>
          <w:rFonts w:ascii="宋体" w:hAnsi="宋体"/>
          <w:sz w:val="24"/>
        </w:rPr>
      </w:pPr>
      <w:r>
        <w:rPr>
          <w:rFonts w:hint="eastAsia" w:ascii="宋体" w:hAnsi="宋体"/>
          <w:sz w:val="24"/>
        </w:rPr>
        <w:t>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传真：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before="120" w:line="360" w:lineRule="exact"/>
        <w:ind w:firstLine="420"/>
        <w:rPr>
          <w:rFonts w:ascii="宋体" w:hAnsi="宋体"/>
          <w:sz w:val="24"/>
        </w:rPr>
      </w:pPr>
      <w:r>
        <w:rPr>
          <w:rFonts w:hint="eastAsia" w:ascii="宋体" w:hAnsi="宋体"/>
          <w:sz w:val="24"/>
        </w:rPr>
        <w:t>投标人代表姓名、职务（印刷体）：</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before="120" w:line="360" w:lineRule="exact"/>
        <w:ind w:firstLine="420"/>
        <w:rPr>
          <w:rFonts w:ascii="宋体" w:hAnsi="宋体"/>
          <w:sz w:val="24"/>
          <w:u w:val="single"/>
        </w:rPr>
      </w:pPr>
      <w:r>
        <w:rPr>
          <w:rFonts w:hint="eastAsia" w:ascii="宋体" w:hAnsi="宋体"/>
          <w:sz w:val="24"/>
        </w:rPr>
        <w:t>法定代表人或委托授权人（签字或盖章）：</w:t>
      </w:r>
      <w:r>
        <w:rPr>
          <w:rFonts w:hint="eastAsia" w:ascii="宋体" w:hAnsi="宋体"/>
          <w:sz w:val="24"/>
          <w:u w:val="single"/>
        </w:rPr>
        <w:t xml:space="preserve">                       </w:t>
      </w:r>
    </w:p>
    <w:p>
      <w:pPr>
        <w:spacing w:before="120" w:line="360" w:lineRule="exact"/>
        <w:ind w:firstLine="420"/>
        <w:rPr>
          <w:rFonts w:ascii="宋体" w:hAnsi="宋体"/>
          <w:sz w:val="24"/>
        </w:rPr>
      </w:pPr>
      <w:r>
        <w:rPr>
          <w:rFonts w:hint="eastAsia"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before="120" w:line="360" w:lineRule="exact"/>
        <w:ind w:firstLine="420"/>
        <w:rPr>
          <w:rFonts w:ascii="宋体" w:hAnsi="宋体"/>
          <w:sz w:val="24"/>
          <w:u w:val="single"/>
        </w:rPr>
      </w:pPr>
      <w:r>
        <w:rPr>
          <w:rFonts w:hint="eastAsia" w:ascii="宋体" w:hAnsi="宋体"/>
          <w:sz w:val="24"/>
        </w:rPr>
        <w:t xml:space="preserve">单位公章： </w:t>
      </w:r>
      <w:r>
        <w:rPr>
          <w:rFonts w:hint="eastAsia" w:ascii="宋体" w:hAnsi="宋体"/>
          <w:sz w:val="24"/>
          <w:u w:val="single"/>
        </w:rPr>
        <w:t xml:space="preserve">                                                 </w:t>
      </w:r>
    </w:p>
    <w:p>
      <w:pPr>
        <w:spacing w:before="120" w:line="360" w:lineRule="exact"/>
        <w:ind w:firstLine="420"/>
        <w:rPr>
          <w:rFonts w:ascii="宋体" w:hAnsi="宋体"/>
          <w:sz w:val="24"/>
        </w:rPr>
      </w:pPr>
      <w:r>
        <w:rPr>
          <w:rFonts w:hint="eastAsia" w:ascii="宋体" w:hAnsi="宋体"/>
          <w:sz w:val="24"/>
        </w:rPr>
        <w:t xml:space="preserve">日    期： </w:t>
      </w:r>
      <w:r>
        <w:rPr>
          <w:rFonts w:hint="eastAsia" w:ascii="宋体" w:hAnsi="宋体"/>
          <w:sz w:val="24"/>
          <w:u w:val="single"/>
        </w:rPr>
        <w:t xml:space="preserve">                                                 </w:t>
      </w:r>
    </w:p>
    <w:p>
      <w:pPr>
        <w:pStyle w:val="4"/>
        <w:numPr>
          <w:ilvl w:val="0"/>
          <w:numId w:val="0"/>
        </w:numPr>
        <w:ind w:left="436" w:hanging="436"/>
        <w:rPr>
          <w:sz w:val="24"/>
          <w:szCs w:val="24"/>
        </w:rPr>
      </w:pPr>
      <w:r>
        <w:rPr>
          <w:b w:val="0"/>
          <w:bCs/>
          <w:sz w:val="24"/>
          <w:szCs w:val="24"/>
        </w:rPr>
        <w:br w:type="page"/>
      </w:r>
      <w:bookmarkStart w:id="73" w:name="_Toc9307"/>
      <w:bookmarkStart w:id="74" w:name="_Toc128218801"/>
      <w:bookmarkStart w:id="75" w:name="_Toc136681793"/>
      <w:r>
        <w:rPr>
          <w:rFonts w:hint="eastAsia"/>
          <w:sz w:val="24"/>
          <w:szCs w:val="24"/>
        </w:rPr>
        <w:t>附件2：投标廉政承诺书</w:t>
      </w:r>
      <w:bookmarkEnd w:id="73"/>
      <w:bookmarkEnd w:id="74"/>
      <w:bookmarkEnd w:id="75"/>
    </w:p>
    <w:p>
      <w:pPr>
        <w:rPr>
          <w:rFonts w:ascii="宋体" w:hAnsi="宋体"/>
          <w:sz w:val="24"/>
        </w:rPr>
      </w:pPr>
    </w:p>
    <w:p>
      <w:pPr>
        <w:jc w:val="center"/>
        <w:rPr>
          <w:rFonts w:ascii="宋体" w:hAnsi="宋体"/>
          <w:b/>
          <w:sz w:val="24"/>
        </w:rPr>
      </w:pPr>
      <w:r>
        <w:rPr>
          <w:rFonts w:hint="eastAsia" w:ascii="宋体" w:hAnsi="宋体"/>
          <w:b/>
          <w:sz w:val="24"/>
        </w:rPr>
        <w:t>投标廉政承诺书</w:t>
      </w:r>
    </w:p>
    <w:p>
      <w:pPr>
        <w:rPr>
          <w:rFonts w:ascii="宋体" w:hAnsi="宋体"/>
          <w:sz w:val="24"/>
        </w:rPr>
      </w:pPr>
    </w:p>
    <w:p>
      <w:pPr>
        <w:spacing w:line="360" w:lineRule="auto"/>
        <w:ind w:firstLine="480"/>
        <w:rPr>
          <w:rFonts w:ascii="宋体" w:hAnsi="宋体"/>
          <w:sz w:val="24"/>
        </w:rPr>
      </w:pPr>
      <w:r>
        <w:rPr>
          <w:rFonts w:hint="eastAsia" w:ascii="宋体" w:hAnsi="宋体"/>
          <w:sz w:val="24"/>
        </w:rPr>
        <w:t>我方办理了</w:t>
      </w:r>
      <w:r>
        <w:rPr>
          <w:rFonts w:hint="eastAsia" w:ascii="宋体" w:hAnsi="宋体"/>
          <w:sz w:val="24"/>
          <w:u w:val="single"/>
        </w:rPr>
        <w:t xml:space="preserve">                         </w:t>
      </w:r>
      <w:r>
        <w:rPr>
          <w:rFonts w:hint="eastAsia" w:ascii="宋体" w:hAnsi="宋体"/>
          <w:sz w:val="24"/>
        </w:rPr>
        <w:t>投标报名申请，并已通过投标资格审查。为确保该建设项目的质量，促进建设市场的规范运行和公平竞争，有效制止招标投标活动中的不正之风和腐败现象，预防和遏制招标投标中的行贿受贿等违法犯罪活动，我方特作以下承诺：</w:t>
      </w:r>
    </w:p>
    <w:p>
      <w:pPr>
        <w:spacing w:line="360" w:lineRule="auto"/>
        <w:ind w:firstLine="480"/>
        <w:rPr>
          <w:rFonts w:ascii="宋体" w:hAnsi="宋体"/>
          <w:sz w:val="24"/>
        </w:rPr>
      </w:pPr>
      <w:r>
        <w:rPr>
          <w:rFonts w:hint="eastAsia" w:ascii="宋体" w:hAnsi="宋体"/>
          <w:sz w:val="24"/>
        </w:rPr>
        <w:t>在本项目投标活动中，我们将自觉遵守《中华人民共和国招标投标法》及有关招标投标管理规章制度开展投标活动。我们不以任何形式向招标人任何人员赠送各种礼品、礼金（礼券）；不邀请招标人参与高档娱乐活动；不串通报名投标，不弄虚作假，不拉拢招评标人员影响评标工作的公正性。</w:t>
      </w:r>
    </w:p>
    <w:p>
      <w:pPr>
        <w:spacing w:line="360" w:lineRule="auto"/>
        <w:ind w:firstLine="480"/>
        <w:rPr>
          <w:rFonts w:ascii="宋体" w:hAnsi="宋体"/>
          <w:sz w:val="24"/>
        </w:rPr>
      </w:pPr>
      <w:r>
        <w:rPr>
          <w:rFonts w:hint="eastAsia" w:ascii="宋体" w:hAnsi="宋体"/>
          <w:sz w:val="24"/>
        </w:rPr>
        <w:t>我们将认真履行以上承诺，并接受检察机关的监督检查，若有违反，将承担相应的行政责任和法律责任。</w:t>
      </w:r>
    </w:p>
    <w:p>
      <w:pPr>
        <w:spacing w:line="360" w:lineRule="auto"/>
        <w:ind w:firstLine="480" w:firstLineChars="200"/>
        <w:rPr>
          <w:rFonts w:ascii="宋体" w:hAnsi="宋体"/>
          <w:sz w:val="24"/>
        </w:rPr>
      </w:pPr>
      <w:r>
        <w:rPr>
          <w:rFonts w:hint="eastAsia" w:ascii="宋体" w:hAnsi="宋体"/>
          <w:sz w:val="24"/>
        </w:rPr>
        <w:t>承诺单位法定代表人（签字）：</w:t>
      </w:r>
    </w:p>
    <w:p>
      <w:pPr>
        <w:spacing w:line="360" w:lineRule="auto"/>
        <w:ind w:firstLine="3840"/>
        <w:rPr>
          <w:rFonts w:ascii="宋体" w:hAnsi="宋体"/>
          <w:sz w:val="24"/>
        </w:rPr>
      </w:pPr>
    </w:p>
    <w:p>
      <w:pPr>
        <w:spacing w:line="360" w:lineRule="auto"/>
        <w:ind w:firstLine="3840"/>
        <w:rPr>
          <w:rFonts w:ascii="宋体" w:hAnsi="宋体"/>
          <w:sz w:val="24"/>
        </w:rPr>
      </w:pPr>
    </w:p>
    <w:p>
      <w:pPr>
        <w:spacing w:line="360" w:lineRule="auto"/>
        <w:ind w:firstLine="480" w:firstLineChars="200"/>
        <w:rPr>
          <w:rFonts w:ascii="宋体" w:hAnsi="宋体"/>
          <w:sz w:val="24"/>
        </w:rPr>
      </w:pPr>
      <w:r>
        <w:rPr>
          <w:rFonts w:hint="eastAsia" w:ascii="宋体" w:hAnsi="宋体"/>
          <w:sz w:val="24"/>
        </w:rPr>
        <w:t>承诺单位（盖章）：</w:t>
      </w:r>
    </w:p>
    <w:p>
      <w:pPr>
        <w:spacing w:line="360" w:lineRule="auto"/>
        <w:ind w:firstLine="4320"/>
        <w:jc w:val="right"/>
        <w:rPr>
          <w:rFonts w:ascii="宋体" w:hAnsi="宋体"/>
          <w:sz w:val="24"/>
        </w:rPr>
      </w:pPr>
      <w:r>
        <w:rPr>
          <w:rFonts w:hint="eastAsia" w:ascii="宋体" w:hAnsi="宋体"/>
          <w:sz w:val="24"/>
        </w:rPr>
        <w:t>日期：</w:t>
      </w:r>
      <w:r>
        <w:rPr>
          <w:rFonts w:ascii="宋体" w:hAnsi="宋体"/>
          <w:sz w:val="24"/>
          <w:u w:val="single"/>
        </w:rPr>
        <w:t>______</w:t>
      </w:r>
      <w:r>
        <w:rPr>
          <w:rFonts w:hint="eastAsia" w:ascii="宋体" w:hAnsi="宋体"/>
          <w:sz w:val="24"/>
        </w:rPr>
        <w:t>年</w:t>
      </w:r>
      <w:r>
        <w:rPr>
          <w:rFonts w:ascii="宋体" w:hAnsi="宋体"/>
          <w:sz w:val="24"/>
          <w:u w:val="single"/>
        </w:rPr>
        <w:t>____</w:t>
      </w:r>
      <w:r>
        <w:rPr>
          <w:rFonts w:hint="eastAsia" w:ascii="宋体" w:hAnsi="宋体"/>
          <w:sz w:val="24"/>
        </w:rPr>
        <w:t>月</w:t>
      </w:r>
      <w:r>
        <w:rPr>
          <w:rFonts w:ascii="宋体" w:hAnsi="宋体"/>
          <w:sz w:val="24"/>
          <w:u w:val="single"/>
        </w:rPr>
        <w:t>____</w:t>
      </w:r>
      <w:r>
        <w:rPr>
          <w:rFonts w:hint="eastAsia" w:ascii="宋体" w:hAnsi="宋体"/>
          <w:sz w:val="24"/>
        </w:rPr>
        <w:t>日</w:t>
      </w:r>
    </w:p>
    <w:p>
      <w:pPr>
        <w:rPr>
          <w:rFonts w:ascii="宋体" w:hAnsi="宋体"/>
          <w:b/>
          <w:bCs/>
          <w:sz w:val="24"/>
        </w:rPr>
      </w:pPr>
    </w:p>
    <w:p>
      <w:pPr>
        <w:rPr>
          <w:rFonts w:ascii="宋体" w:hAnsi="宋体"/>
          <w:b/>
          <w:bCs/>
          <w:sz w:val="24"/>
        </w:rPr>
      </w:pPr>
    </w:p>
    <w:p>
      <w:pPr>
        <w:pStyle w:val="4"/>
        <w:numPr>
          <w:ilvl w:val="0"/>
          <w:numId w:val="0"/>
        </w:numPr>
        <w:ind w:left="576" w:hanging="576"/>
        <w:rPr>
          <w:sz w:val="24"/>
          <w:szCs w:val="24"/>
        </w:rPr>
      </w:pPr>
      <w:r>
        <w:rPr>
          <w:b w:val="0"/>
          <w:bCs/>
          <w:sz w:val="24"/>
          <w:szCs w:val="24"/>
        </w:rPr>
        <w:br w:type="page"/>
      </w:r>
      <w:bookmarkStart w:id="76" w:name="_Toc19512"/>
      <w:r>
        <w:rPr>
          <w:rFonts w:hint="eastAsia"/>
          <w:sz w:val="24"/>
          <w:szCs w:val="24"/>
        </w:rPr>
        <w:t>附件3：开标一览表</w:t>
      </w:r>
      <w:bookmarkEnd w:id="76"/>
    </w:p>
    <w:p>
      <w:pPr>
        <w:spacing w:line="360" w:lineRule="auto"/>
        <w:rPr>
          <w:rFonts w:ascii="宋体" w:hAnsi="宋体"/>
          <w:kern w:val="0"/>
          <w:sz w:val="24"/>
        </w:rPr>
      </w:pPr>
      <w:r>
        <w:rPr>
          <w:rFonts w:hint="eastAsia"/>
          <w:bCs/>
          <w:snapToGrid w:val="0"/>
          <w:kern w:val="0"/>
          <w:sz w:val="24"/>
        </w:rPr>
        <w:t>招标项目名称：</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28"/>
        <w:tblpPr w:leftFromText="180" w:rightFromText="180" w:vertAnchor="text" w:horzAnchor="page" w:tblpX="1152" w:tblpY="239"/>
        <w:tblOverlap w:val="never"/>
        <w:tblW w:w="918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3544"/>
        <w:gridCol w:w="21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510" w:type="dxa"/>
            <w:tcBorders>
              <w:top w:val="double" w:color="auto" w:sz="4" w:space="0"/>
              <w:bottom w:val="single" w:color="auto" w:sz="4" w:space="0"/>
            </w:tcBorders>
            <w:vAlign w:val="center"/>
          </w:tcPr>
          <w:p>
            <w:pPr>
              <w:adjustRightInd w:val="0"/>
              <w:snapToGrid w:val="0"/>
              <w:spacing w:line="360" w:lineRule="auto"/>
              <w:jc w:val="center"/>
              <w:rPr>
                <w:snapToGrid w:val="0"/>
                <w:color w:val="000000"/>
                <w:kern w:val="0"/>
              </w:rPr>
            </w:pPr>
            <w:r>
              <w:rPr>
                <w:snapToGrid w:val="0"/>
                <w:color w:val="000000"/>
                <w:kern w:val="0"/>
              </w:rPr>
              <w:t>项目名称</w:t>
            </w:r>
          </w:p>
        </w:tc>
        <w:tc>
          <w:tcPr>
            <w:tcW w:w="3544" w:type="dxa"/>
            <w:tcBorders>
              <w:top w:val="double" w:color="auto" w:sz="4" w:space="0"/>
              <w:bottom w:val="single" w:color="auto" w:sz="4" w:space="0"/>
            </w:tcBorders>
            <w:vAlign w:val="center"/>
          </w:tcPr>
          <w:p>
            <w:pPr>
              <w:adjustRightInd w:val="0"/>
              <w:snapToGrid w:val="0"/>
              <w:spacing w:line="360" w:lineRule="auto"/>
              <w:jc w:val="center"/>
              <w:rPr>
                <w:snapToGrid w:val="0"/>
                <w:color w:val="000000"/>
                <w:kern w:val="0"/>
              </w:rPr>
            </w:pPr>
            <w:r>
              <w:rPr>
                <w:snapToGrid w:val="0"/>
                <w:color w:val="000000"/>
                <w:kern w:val="0"/>
              </w:rPr>
              <w:t>投标总价</w:t>
            </w:r>
          </w:p>
          <w:p>
            <w:pPr>
              <w:adjustRightInd w:val="0"/>
              <w:snapToGrid w:val="0"/>
              <w:spacing w:line="360" w:lineRule="auto"/>
              <w:jc w:val="center"/>
              <w:rPr>
                <w:snapToGrid w:val="0"/>
                <w:color w:val="000000"/>
                <w:kern w:val="0"/>
              </w:rPr>
            </w:pPr>
            <w:r>
              <w:rPr>
                <w:snapToGrid w:val="0"/>
                <w:color w:val="000000"/>
                <w:kern w:val="0"/>
              </w:rPr>
              <w:t>（人民币元）</w:t>
            </w:r>
          </w:p>
        </w:tc>
        <w:tc>
          <w:tcPr>
            <w:tcW w:w="2126" w:type="dxa"/>
            <w:tcBorders>
              <w:top w:val="double" w:color="auto" w:sz="4" w:space="0"/>
              <w:bottom w:val="single" w:color="auto" w:sz="4" w:space="0"/>
            </w:tcBorders>
            <w:vAlign w:val="center"/>
          </w:tcPr>
          <w:p>
            <w:pPr>
              <w:adjustRightInd w:val="0"/>
              <w:snapToGrid w:val="0"/>
              <w:spacing w:line="360" w:lineRule="auto"/>
              <w:jc w:val="center"/>
              <w:rPr>
                <w:snapToGrid w:val="0"/>
                <w:color w:val="000000"/>
                <w:kern w:val="0"/>
              </w:rPr>
            </w:pPr>
            <w:r>
              <w:rPr>
                <w:rFonts w:hint="eastAsia"/>
                <w:snapToGrid w:val="0"/>
                <w:color w:val="000000"/>
                <w:kern w:val="0"/>
              </w:rPr>
              <w:t>服务</w:t>
            </w:r>
            <w:r>
              <w:rPr>
                <w:snapToGrid w:val="0"/>
                <w:color w:val="000000"/>
                <w:kern w:val="0"/>
              </w:rPr>
              <w:t>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3510" w:type="dxa"/>
            <w:tcBorders>
              <w:top w:val="single" w:color="auto" w:sz="4" w:space="0"/>
            </w:tcBorders>
            <w:vAlign w:val="center"/>
          </w:tcPr>
          <w:p>
            <w:pPr>
              <w:adjustRightInd w:val="0"/>
              <w:snapToGrid w:val="0"/>
              <w:spacing w:line="360" w:lineRule="auto"/>
              <w:jc w:val="center"/>
              <w:rPr>
                <w:color w:val="000000"/>
              </w:rPr>
            </w:pPr>
          </w:p>
        </w:tc>
        <w:tc>
          <w:tcPr>
            <w:tcW w:w="3544" w:type="dxa"/>
            <w:tcBorders>
              <w:top w:val="single" w:color="auto" w:sz="4" w:space="0"/>
            </w:tcBorders>
            <w:vAlign w:val="center"/>
          </w:tcPr>
          <w:p>
            <w:pPr>
              <w:adjustRightInd w:val="0"/>
              <w:snapToGrid w:val="0"/>
              <w:spacing w:line="360" w:lineRule="auto"/>
              <w:rPr>
                <w:snapToGrid w:val="0"/>
                <w:color w:val="000000"/>
                <w:kern w:val="0"/>
                <w:u w:val="single"/>
              </w:rPr>
            </w:pPr>
            <w:r>
              <w:rPr>
                <w:snapToGrid w:val="0"/>
                <w:color w:val="000000"/>
                <w:kern w:val="0"/>
              </w:rPr>
              <w:t>大写：</w:t>
            </w:r>
            <w:r>
              <w:rPr>
                <w:snapToGrid w:val="0"/>
                <w:color w:val="000000"/>
                <w:kern w:val="0"/>
                <w:u w:val="single"/>
              </w:rPr>
              <w:t xml:space="preserve">                   </w:t>
            </w:r>
          </w:p>
          <w:p>
            <w:pPr>
              <w:adjustRightInd w:val="0"/>
              <w:snapToGrid w:val="0"/>
              <w:spacing w:line="360" w:lineRule="auto"/>
              <w:rPr>
                <w:snapToGrid w:val="0"/>
                <w:color w:val="000000"/>
                <w:kern w:val="0"/>
                <w:u w:val="single"/>
              </w:rPr>
            </w:pPr>
            <w:r>
              <w:rPr>
                <w:snapToGrid w:val="0"/>
                <w:color w:val="000000"/>
                <w:kern w:val="0"/>
              </w:rPr>
              <w:t>小写：</w:t>
            </w:r>
            <w:r>
              <w:rPr>
                <w:snapToGrid w:val="0"/>
                <w:color w:val="000000"/>
                <w:kern w:val="0"/>
                <w:u w:val="single"/>
              </w:rPr>
              <w:t xml:space="preserve">                   </w:t>
            </w:r>
          </w:p>
        </w:tc>
        <w:tc>
          <w:tcPr>
            <w:tcW w:w="2126" w:type="dxa"/>
            <w:tcBorders>
              <w:top w:val="single" w:color="auto" w:sz="4" w:space="0"/>
            </w:tcBorders>
            <w:vAlign w:val="center"/>
          </w:tcPr>
          <w:p>
            <w:pPr>
              <w:adjustRightInd w:val="0"/>
              <w:snapToGrid w:val="0"/>
              <w:spacing w:line="360" w:lineRule="auto"/>
              <w:jc w:val="center"/>
              <w:rPr>
                <w:snapToGrid w:val="0"/>
                <w:color w:val="000000"/>
                <w:kern w:val="0"/>
              </w:rPr>
            </w:pPr>
            <w:r>
              <w:rPr>
                <w:rFonts w:hint="eastAsia" w:ascii="宋体" w:hAnsi="宋体"/>
                <w:color w:val="000000"/>
                <w:szCs w:val="21"/>
              </w:rPr>
              <w:t>合同签订后</w:t>
            </w:r>
            <w:r>
              <w:rPr>
                <w:rFonts w:hint="eastAsia" w:ascii="宋体" w:hAnsi="宋体"/>
                <w:color w:val="000000"/>
                <w:szCs w:val="21"/>
                <w:u w:val="single"/>
              </w:rPr>
              <w:t xml:space="preserve">    </w:t>
            </w:r>
            <w:r>
              <w:rPr>
                <w:rFonts w:hint="eastAsia" w:ascii="宋体" w:hAnsi="宋体"/>
                <w:color w:val="000000"/>
                <w:szCs w:val="21"/>
              </w:rPr>
              <w:t>日历天内</w:t>
            </w:r>
          </w:p>
        </w:tc>
      </w:tr>
    </w:tbl>
    <w:p>
      <w:pPr>
        <w:jc w:val="center"/>
        <w:rPr>
          <w:rFonts w:ascii="宋体" w:hAnsi="宋体"/>
          <w:sz w:val="24"/>
        </w:rPr>
      </w:pPr>
    </w:p>
    <w:p>
      <w:pPr>
        <w:autoSpaceDE w:val="0"/>
        <w:autoSpaceDN w:val="0"/>
        <w:adjustRightInd w:val="0"/>
        <w:snapToGrid w:val="0"/>
        <w:jc w:val="left"/>
        <w:rPr>
          <w:rFonts w:ascii="宋体" w:hAnsi="宋体"/>
          <w:szCs w:val="21"/>
        </w:rPr>
      </w:pPr>
    </w:p>
    <w:p>
      <w:pPr>
        <w:jc w:val="center"/>
        <w:rPr>
          <w:rFonts w:ascii="宋体" w:hAnsi="宋体"/>
          <w:b/>
          <w:sz w:val="24"/>
        </w:rPr>
      </w:pPr>
    </w:p>
    <w:p>
      <w:pPr>
        <w:rPr>
          <w:rFonts w:ascii="宋体" w:hAnsi="宋体"/>
          <w:b/>
          <w:sz w:val="24"/>
        </w:rPr>
      </w:pPr>
      <w:r>
        <w:rPr>
          <w:rFonts w:hint="eastAsia" w:ascii="宋体" w:hAnsi="宋体"/>
          <w:b/>
          <w:sz w:val="24"/>
        </w:rPr>
        <w:t>投标报价要求：</w:t>
      </w:r>
    </w:p>
    <w:p>
      <w:pPr>
        <w:numPr>
          <w:ilvl w:val="1"/>
          <w:numId w:val="32"/>
        </w:numPr>
        <w:tabs>
          <w:tab w:val="clear" w:pos="1440"/>
        </w:tabs>
        <w:ind w:left="420" w:hanging="255"/>
        <w:rPr>
          <w:rFonts w:ascii="宋体" w:hAnsi="宋体"/>
          <w:sz w:val="24"/>
        </w:rPr>
      </w:pPr>
      <w:r>
        <w:rPr>
          <w:rFonts w:hint="eastAsia" w:ascii="宋体" w:hAnsi="宋体"/>
          <w:sz w:val="24"/>
        </w:rPr>
        <w:t>按单条人民币报价，精确到小数点后两位。该报价为包干价（包括服务过程产生的差旅、交通、住宿等所有费用），招标人无须向中标人支付其他任何费用。</w:t>
      </w:r>
    </w:p>
    <w:p>
      <w:pPr>
        <w:numPr>
          <w:ilvl w:val="1"/>
          <w:numId w:val="32"/>
        </w:numPr>
        <w:tabs>
          <w:tab w:val="clear" w:pos="1440"/>
        </w:tabs>
        <w:ind w:left="420" w:hanging="255"/>
        <w:rPr>
          <w:rFonts w:ascii="宋体" w:hAnsi="宋体"/>
          <w:sz w:val="24"/>
        </w:rPr>
      </w:pPr>
      <w:r>
        <w:rPr>
          <w:rFonts w:hint="eastAsia" w:ascii="宋体" w:hAnsi="宋体"/>
          <w:sz w:val="24"/>
        </w:rPr>
        <w:t>投标人如果需要对报价或其它内容加以说明，可在下面填写：</w:t>
      </w:r>
    </w:p>
    <w:p>
      <w:pPr>
        <w:rPr>
          <w:rFonts w:ascii="宋体" w:hAnsi="宋体"/>
          <w:bCs/>
          <w:sz w:val="24"/>
          <w:u w:val="single"/>
        </w:rPr>
      </w:pPr>
    </w:p>
    <w:p>
      <w:pPr>
        <w:rPr>
          <w:rFonts w:ascii="宋体" w:hAnsi="宋体"/>
          <w:sz w:val="24"/>
          <w:u w:val="single"/>
        </w:rPr>
      </w:pPr>
      <w:r>
        <w:rPr>
          <w:rFonts w:hint="eastAsia" w:ascii="宋体" w:hAnsi="宋体"/>
          <w:sz w:val="24"/>
        </w:rPr>
        <w:t>法定代表人或委托授权人（签字或盖章）：</w:t>
      </w:r>
      <w:r>
        <w:rPr>
          <w:rFonts w:hint="eastAsia" w:ascii="宋体" w:hAnsi="宋体"/>
          <w:sz w:val="24"/>
          <w:u w:val="single"/>
        </w:rPr>
        <w:t xml:space="preserve">                       </w:t>
      </w:r>
    </w:p>
    <w:p>
      <w:pPr>
        <w:rPr>
          <w:rFonts w:ascii="宋体" w:hAnsi="宋体"/>
          <w:sz w:val="24"/>
          <w:u w:val="single"/>
        </w:rPr>
      </w:pPr>
    </w:p>
    <w:p>
      <w:pPr>
        <w:rPr>
          <w:rFonts w:ascii="宋体" w:hAnsi="宋体"/>
          <w:sz w:val="24"/>
        </w:rPr>
      </w:pPr>
      <w:r>
        <w:rPr>
          <w:rFonts w:hint="eastAsia" w:ascii="宋体" w:hAnsi="宋体"/>
          <w:sz w:val="24"/>
        </w:rPr>
        <w:t>投标单位：（盖章）</w:t>
      </w:r>
    </w:p>
    <w:p>
      <w:pPr>
        <w:rPr>
          <w:rFonts w:ascii="宋体" w:hAnsi="宋体"/>
          <w:sz w:val="24"/>
        </w:rPr>
      </w:pPr>
    </w:p>
    <w:p>
      <w:pPr>
        <w:rPr>
          <w:rFonts w:ascii="宋体" w:hAnsi="宋体"/>
          <w:sz w:val="24"/>
        </w:rPr>
      </w:pPr>
      <w:r>
        <w:rPr>
          <w:rFonts w:hint="eastAsia" w:ascii="宋体" w:hAnsi="宋体"/>
          <w:sz w:val="24"/>
        </w:rPr>
        <w:t>日期：</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4"/>
        <w:numPr>
          <w:ilvl w:val="0"/>
          <w:numId w:val="0"/>
        </w:numPr>
        <w:ind w:left="576" w:hanging="576"/>
        <w:rPr>
          <w:sz w:val="24"/>
          <w:szCs w:val="24"/>
        </w:rPr>
      </w:pPr>
      <w:bookmarkStart w:id="77" w:name="_Toc27218"/>
      <w:r>
        <w:rPr>
          <w:rFonts w:hint="eastAsia"/>
          <w:sz w:val="24"/>
          <w:szCs w:val="24"/>
        </w:rPr>
        <w:t>附件</w:t>
      </w:r>
      <w:r>
        <w:rPr>
          <w:sz w:val="24"/>
          <w:szCs w:val="24"/>
        </w:rPr>
        <w:t>4</w:t>
      </w:r>
      <w:r>
        <w:rPr>
          <w:rFonts w:hint="eastAsia"/>
          <w:sz w:val="24"/>
          <w:szCs w:val="24"/>
        </w:rPr>
        <w:t>：分项报价清单</w:t>
      </w:r>
      <w:bookmarkEnd w:id="77"/>
    </w:p>
    <w:tbl>
      <w:tblPr>
        <w:tblStyle w:val="28"/>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3150"/>
        <w:gridCol w:w="323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092" w:type="dxa"/>
          </w:tcPr>
          <w:p>
            <w:pPr>
              <w:spacing w:after="60" w:line="360" w:lineRule="exact"/>
              <w:ind w:firstLine="199" w:firstLineChars="95"/>
              <w:jc w:val="left"/>
              <w:rPr>
                <w:rFonts w:ascii="宋体" w:hAnsi="宋体" w:cs="宋体"/>
                <w:szCs w:val="21"/>
              </w:rPr>
            </w:pPr>
            <w:r>
              <w:rPr>
                <w:rFonts w:hint="eastAsia" w:ascii="宋体" w:hAnsi="宋体" w:cs="宋体"/>
                <w:szCs w:val="21"/>
              </w:rPr>
              <w:t>编号</w:t>
            </w:r>
          </w:p>
        </w:tc>
        <w:tc>
          <w:tcPr>
            <w:tcW w:w="3150" w:type="dxa"/>
            <w:vAlign w:val="bottom"/>
          </w:tcPr>
          <w:p>
            <w:pPr>
              <w:spacing w:after="60" w:line="360" w:lineRule="exact"/>
              <w:ind w:firstLine="420"/>
              <w:jc w:val="center"/>
              <w:rPr>
                <w:rFonts w:ascii="宋体" w:hAnsi="宋体" w:cs="宋体"/>
                <w:szCs w:val="21"/>
              </w:rPr>
            </w:pPr>
            <w:r>
              <w:rPr>
                <w:rFonts w:hint="eastAsia" w:ascii="宋体" w:hAnsi="宋体" w:cs="宋体"/>
                <w:szCs w:val="21"/>
              </w:rPr>
              <w:t>分项名称</w:t>
            </w:r>
          </w:p>
        </w:tc>
        <w:tc>
          <w:tcPr>
            <w:tcW w:w="3237" w:type="dxa"/>
            <w:vAlign w:val="bottom"/>
          </w:tcPr>
          <w:p>
            <w:pPr>
              <w:spacing w:after="60" w:line="360" w:lineRule="exact"/>
              <w:ind w:firstLine="420"/>
              <w:rPr>
                <w:rFonts w:ascii="宋体" w:hAnsi="宋体" w:cs="宋体"/>
                <w:szCs w:val="21"/>
              </w:rPr>
            </w:pPr>
            <w:r>
              <w:rPr>
                <w:rFonts w:hint="eastAsia" w:ascii="宋体" w:hAnsi="宋体" w:cs="宋体"/>
                <w:szCs w:val="21"/>
              </w:rPr>
              <w:t>分项报价</w:t>
            </w:r>
          </w:p>
        </w:tc>
        <w:tc>
          <w:tcPr>
            <w:tcW w:w="1071" w:type="dxa"/>
            <w:vAlign w:val="bottom"/>
          </w:tcPr>
          <w:p>
            <w:pPr>
              <w:spacing w:after="60" w:line="360" w:lineRule="exact"/>
              <w:ind w:firstLine="42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1</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规划及相关资料的解读及报告输出</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2</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相关部门/单位调研及报告输出</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3</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标杆案例调研及报告输出</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4</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整体调研报告编制</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5</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生态/环保相关智慧场景规划</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6</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协助蓝图规划编制及汇报</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7</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智能化全流程运营管理规划专项</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ascii="宋体" w:hAnsi="宋体" w:cs="宋体"/>
                <w:szCs w:val="21"/>
              </w:rPr>
            </w:pPr>
            <w:r>
              <w:rPr>
                <w:rFonts w:hint="eastAsia" w:ascii="宋体" w:hAnsi="宋体" w:cs="宋体"/>
                <w:szCs w:val="21"/>
              </w:rPr>
              <w:t>8</w:t>
            </w:r>
          </w:p>
        </w:tc>
        <w:tc>
          <w:tcPr>
            <w:tcW w:w="3150" w:type="dxa"/>
            <w:vAlign w:val="center"/>
          </w:tcPr>
          <w:p>
            <w:pPr>
              <w:spacing w:after="60" w:line="360" w:lineRule="exact"/>
              <w:jc w:val="center"/>
              <w:rPr>
                <w:rFonts w:ascii="宋体" w:hAnsi="宋体" w:cs="宋体"/>
                <w:szCs w:val="21"/>
              </w:rPr>
            </w:pPr>
            <w:r>
              <w:rPr>
                <w:rFonts w:hint="eastAsia" w:ascii="宋体" w:hAnsi="宋体" w:cs="宋体"/>
                <w:szCs w:val="21"/>
              </w:rPr>
              <w:t>环保产业相关应用/平台的实施规划建议和费用分析</w:t>
            </w:r>
          </w:p>
        </w:tc>
        <w:tc>
          <w:tcPr>
            <w:tcW w:w="3237" w:type="dxa"/>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rPr>
                <w:rFonts w:ascii="宋体" w:hAnsi="宋体" w:cs="宋体"/>
                <w:szCs w:val="21"/>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vAlign w:val="center"/>
          </w:tcPr>
          <w:p>
            <w:pPr>
              <w:spacing w:after="60" w:line="360" w:lineRule="exact"/>
              <w:ind w:firstLine="149" w:firstLineChars="71"/>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3150" w:type="dxa"/>
            <w:vAlign w:val="center"/>
          </w:tcPr>
          <w:p>
            <w:pPr>
              <w:spacing w:after="60" w:line="36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专家顾问服务</w:t>
            </w:r>
          </w:p>
        </w:tc>
        <w:tc>
          <w:tcPr>
            <w:tcW w:w="3237" w:type="dxa"/>
            <w:vAlign w:val="top"/>
          </w:tcPr>
          <w:p>
            <w:pPr>
              <w:spacing w:after="60" w:line="360" w:lineRule="exact"/>
              <w:ind w:firstLine="420"/>
              <w:rPr>
                <w:rFonts w:ascii="宋体" w:hAnsi="宋体" w:cs="宋体"/>
                <w:szCs w:val="21"/>
              </w:rPr>
            </w:pPr>
            <w:r>
              <w:rPr>
                <w:rFonts w:hint="eastAsia" w:ascii="宋体" w:hAnsi="宋体" w:cs="宋体"/>
                <w:szCs w:val="21"/>
              </w:rPr>
              <w:t>大写：</w:t>
            </w:r>
          </w:p>
          <w:p>
            <w:pPr>
              <w:spacing w:after="60" w:line="360" w:lineRule="exact"/>
              <w:ind w:firstLine="420" w:firstLineChars="0"/>
              <w:rPr>
                <w:rFonts w:hint="eastAsia" w:ascii="宋体" w:hAnsi="宋体" w:eastAsia="宋体" w:cs="宋体"/>
                <w:kern w:val="2"/>
                <w:sz w:val="21"/>
                <w:szCs w:val="21"/>
                <w:lang w:val="en-US" w:eastAsia="zh-CN" w:bidi="ar-SA"/>
              </w:rPr>
            </w:pPr>
            <w:r>
              <w:rPr>
                <w:rFonts w:hint="eastAsia" w:ascii="宋体" w:hAnsi="宋体" w:cs="宋体"/>
                <w:szCs w:val="21"/>
              </w:rPr>
              <w:t>小写：</w:t>
            </w:r>
          </w:p>
        </w:tc>
        <w:tc>
          <w:tcPr>
            <w:tcW w:w="1071" w:type="dxa"/>
          </w:tcPr>
          <w:p>
            <w:pPr>
              <w:spacing w:after="60" w:line="360" w:lineRule="exact"/>
              <w:ind w:firstLine="42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rPr>
        <w:tc>
          <w:tcPr>
            <w:tcW w:w="1092" w:type="dxa"/>
          </w:tcPr>
          <w:p>
            <w:pPr>
              <w:spacing w:after="60" w:line="360" w:lineRule="exact"/>
              <w:jc w:val="left"/>
              <w:rPr>
                <w:rFonts w:ascii="宋体" w:hAnsi="宋体" w:cs="宋体"/>
                <w:szCs w:val="21"/>
              </w:rPr>
            </w:pPr>
            <w:r>
              <w:rPr>
                <w:rFonts w:hint="eastAsia" w:ascii="宋体" w:hAnsi="宋体" w:cs="宋体"/>
                <w:szCs w:val="21"/>
              </w:rPr>
              <w:t>合计</w:t>
            </w:r>
          </w:p>
        </w:tc>
        <w:tc>
          <w:tcPr>
            <w:tcW w:w="6387" w:type="dxa"/>
            <w:gridSpan w:val="2"/>
          </w:tcPr>
          <w:p>
            <w:pPr>
              <w:spacing w:after="60" w:line="360" w:lineRule="exact"/>
              <w:ind w:firstLine="420"/>
              <w:rPr>
                <w:rFonts w:ascii="宋体" w:hAnsi="宋体" w:cs="宋体"/>
                <w:szCs w:val="21"/>
              </w:rPr>
            </w:pPr>
          </w:p>
        </w:tc>
        <w:tc>
          <w:tcPr>
            <w:tcW w:w="1071" w:type="dxa"/>
          </w:tcPr>
          <w:p>
            <w:pPr>
              <w:spacing w:after="60" w:line="360" w:lineRule="exact"/>
              <w:ind w:firstLine="420"/>
              <w:rPr>
                <w:rFonts w:ascii="宋体" w:hAnsi="宋体" w:cs="宋体"/>
                <w:szCs w:val="21"/>
              </w:rPr>
            </w:pPr>
          </w:p>
        </w:tc>
      </w:tr>
    </w:tbl>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4"/>
        <w:numPr>
          <w:ilvl w:val="0"/>
          <w:numId w:val="0"/>
        </w:numPr>
        <w:ind w:left="576" w:hanging="576"/>
        <w:rPr>
          <w:sz w:val="24"/>
          <w:szCs w:val="24"/>
        </w:rPr>
      </w:pPr>
      <w:bookmarkStart w:id="78" w:name="_Toc2527"/>
      <w:r>
        <w:rPr>
          <w:rFonts w:hint="eastAsia"/>
          <w:sz w:val="24"/>
          <w:szCs w:val="24"/>
        </w:rPr>
        <w:t>附件</w:t>
      </w:r>
      <w:r>
        <w:rPr>
          <w:sz w:val="24"/>
          <w:szCs w:val="24"/>
        </w:rPr>
        <w:t>5</w:t>
      </w:r>
      <w:r>
        <w:rPr>
          <w:rFonts w:hint="eastAsia"/>
          <w:sz w:val="24"/>
          <w:szCs w:val="24"/>
        </w:rPr>
        <w:t>：招标服务条款偏离表</w:t>
      </w:r>
      <w:bookmarkEnd w:id="78"/>
    </w:p>
    <w:p>
      <w:pPr>
        <w:spacing w:line="360" w:lineRule="auto"/>
        <w:jc w:val="center"/>
        <w:rPr>
          <w:rFonts w:ascii="宋体" w:hAnsi="宋体"/>
          <w:b/>
          <w:sz w:val="24"/>
        </w:rPr>
      </w:pPr>
    </w:p>
    <w:p>
      <w:pPr>
        <w:spacing w:line="360" w:lineRule="auto"/>
        <w:rPr>
          <w:rFonts w:hAnsi="宋体"/>
          <w:sz w:val="24"/>
        </w:rPr>
      </w:pPr>
      <w:r>
        <w:rPr>
          <w:rFonts w:hint="eastAsia"/>
          <w:bCs/>
          <w:snapToGrid w:val="0"/>
          <w:kern w:val="0"/>
          <w:sz w:val="24"/>
        </w:rPr>
        <w:t>招标项目名称：</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2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970"/>
        <w:gridCol w:w="302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39" w:type="dxa"/>
            <w:vAlign w:val="center"/>
          </w:tcPr>
          <w:p>
            <w:pPr>
              <w:snapToGrid w:val="0"/>
              <w:spacing w:line="360" w:lineRule="exact"/>
              <w:jc w:val="center"/>
              <w:rPr>
                <w:rStyle w:val="62"/>
                <w:rFonts w:ascii="宋体" w:hAnsi="宋体" w:cs="宋体"/>
                <w:b w:val="0"/>
                <w:bCs w:val="0"/>
                <w:szCs w:val="21"/>
              </w:rPr>
            </w:pPr>
            <w:r>
              <w:rPr>
                <w:rFonts w:hint="eastAsia" w:ascii="宋体" w:hAnsi="宋体" w:cs="宋体"/>
              </w:rPr>
              <w:t>序号</w:t>
            </w:r>
          </w:p>
        </w:tc>
        <w:tc>
          <w:tcPr>
            <w:tcW w:w="2970" w:type="dxa"/>
            <w:vAlign w:val="center"/>
          </w:tcPr>
          <w:p>
            <w:pPr>
              <w:snapToGrid w:val="0"/>
              <w:spacing w:line="360" w:lineRule="exact"/>
              <w:jc w:val="center"/>
              <w:rPr>
                <w:rFonts w:ascii="宋体" w:hAnsi="宋体" w:cs="宋体"/>
              </w:rPr>
            </w:pPr>
            <w:r>
              <w:rPr>
                <w:rFonts w:hint="eastAsia" w:ascii="宋体" w:hAnsi="宋体" w:cs="宋体"/>
              </w:rPr>
              <w:t>招标文件要求</w:t>
            </w:r>
          </w:p>
        </w:tc>
        <w:tc>
          <w:tcPr>
            <w:tcW w:w="3029" w:type="dxa"/>
            <w:vAlign w:val="center"/>
          </w:tcPr>
          <w:p>
            <w:pPr>
              <w:spacing w:after="60" w:line="360" w:lineRule="exact"/>
              <w:jc w:val="center"/>
              <w:rPr>
                <w:rFonts w:ascii="宋体" w:hAnsi="宋体" w:cs="宋体"/>
                <w:b/>
              </w:rPr>
            </w:pPr>
            <w:r>
              <w:rPr>
                <w:rFonts w:hint="eastAsia" w:ascii="宋体" w:hAnsi="宋体" w:cs="宋体"/>
              </w:rPr>
              <w:t>投标文件响应</w:t>
            </w:r>
          </w:p>
        </w:tc>
        <w:tc>
          <w:tcPr>
            <w:tcW w:w="2126" w:type="dxa"/>
            <w:vAlign w:val="center"/>
          </w:tcPr>
          <w:p>
            <w:pPr>
              <w:snapToGrid w:val="0"/>
              <w:spacing w:line="360" w:lineRule="exact"/>
              <w:jc w:val="center"/>
              <w:rPr>
                <w:rFonts w:ascii="宋体" w:hAnsi="宋体" w:cs="宋体"/>
              </w:rPr>
            </w:pPr>
            <w:r>
              <w:rPr>
                <w:rFonts w:hint="eastAsia" w:ascii="宋体" w:hAnsi="宋体" w:cs="宋体"/>
              </w:rPr>
              <w:t>偏离说明（符合/正偏离/负偏离）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39" w:type="dxa"/>
            <w:vAlign w:val="center"/>
          </w:tcPr>
          <w:p>
            <w:pPr>
              <w:snapToGrid w:val="0"/>
              <w:spacing w:line="360" w:lineRule="exact"/>
              <w:jc w:val="center"/>
              <w:rPr>
                <w:rFonts w:ascii="宋体" w:hAnsi="宋体" w:cs="宋体"/>
                <w:b/>
                <w:bCs/>
              </w:rPr>
            </w:pPr>
            <w:r>
              <w:rPr>
                <w:rFonts w:hint="eastAsia" w:ascii="宋体" w:hAnsi="宋体" w:cs="宋体"/>
                <w:b/>
                <w:bCs/>
              </w:rPr>
              <w:t>填写</w:t>
            </w:r>
          </w:p>
          <w:p>
            <w:pPr>
              <w:snapToGrid w:val="0"/>
              <w:spacing w:line="360" w:lineRule="exact"/>
              <w:jc w:val="center"/>
              <w:rPr>
                <w:rFonts w:ascii="宋体" w:hAnsi="宋体" w:cs="宋体"/>
                <w:b/>
                <w:bCs/>
              </w:rPr>
            </w:pPr>
            <w:r>
              <w:rPr>
                <w:rFonts w:hint="eastAsia" w:ascii="宋体" w:hAnsi="宋体" w:cs="宋体"/>
                <w:b/>
                <w:bCs/>
              </w:rPr>
              <w:t>示列</w:t>
            </w:r>
          </w:p>
        </w:tc>
        <w:tc>
          <w:tcPr>
            <w:tcW w:w="2970" w:type="dxa"/>
            <w:vAlign w:val="center"/>
          </w:tcPr>
          <w:p>
            <w:pPr>
              <w:snapToGrid w:val="0"/>
              <w:spacing w:after="160" w:line="360" w:lineRule="exact"/>
              <w:jc w:val="center"/>
              <w:rPr>
                <w:rStyle w:val="62"/>
                <w:rFonts w:ascii="宋体" w:hAnsi="宋体" w:cs="宋体"/>
                <w:b w:val="0"/>
                <w:sz w:val="18"/>
                <w:szCs w:val="18"/>
              </w:rPr>
            </w:pPr>
            <w:r>
              <w:rPr>
                <w:rStyle w:val="62"/>
                <w:rFonts w:hint="eastAsia" w:ascii="宋体" w:hAnsi="宋体" w:cs="宋体"/>
                <w:sz w:val="18"/>
                <w:szCs w:val="18"/>
              </w:rPr>
              <w:t>环保产业园规划</w:t>
            </w:r>
          </w:p>
        </w:tc>
        <w:tc>
          <w:tcPr>
            <w:tcW w:w="3029" w:type="dxa"/>
            <w:vAlign w:val="center"/>
          </w:tcPr>
          <w:p>
            <w:pPr>
              <w:snapToGrid w:val="0"/>
              <w:spacing w:after="160" w:line="360" w:lineRule="exact"/>
              <w:jc w:val="center"/>
              <w:rPr>
                <w:rStyle w:val="62"/>
                <w:rFonts w:ascii="宋体" w:hAnsi="宋体" w:cs="宋体"/>
                <w:b w:val="0"/>
                <w:sz w:val="18"/>
                <w:szCs w:val="18"/>
              </w:rPr>
            </w:pPr>
            <w:r>
              <w:rPr>
                <w:rStyle w:val="62"/>
                <w:rFonts w:hint="eastAsia" w:ascii="宋体" w:hAnsi="宋体" w:cs="宋体"/>
                <w:sz w:val="18"/>
                <w:szCs w:val="18"/>
              </w:rPr>
              <w:t>环保产业园规划</w:t>
            </w:r>
          </w:p>
        </w:tc>
        <w:tc>
          <w:tcPr>
            <w:tcW w:w="2126" w:type="dxa"/>
            <w:vAlign w:val="center"/>
          </w:tcPr>
          <w:p>
            <w:pPr>
              <w:snapToGrid w:val="0"/>
              <w:spacing w:after="160" w:line="360" w:lineRule="exact"/>
              <w:jc w:val="center"/>
              <w:rPr>
                <w:rFonts w:ascii="宋体" w:hAnsi="宋体" w:cs="宋体"/>
              </w:rPr>
            </w:pPr>
            <w:r>
              <w:rPr>
                <w:rStyle w:val="62"/>
                <w:rFonts w:hint="eastAsia" w:ascii="宋体" w:hAnsi="宋体" w:cs="宋体"/>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39" w:type="dxa"/>
          </w:tcPr>
          <w:p>
            <w:pPr>
              <w:snapToGrid w:val="0"/>
              <w:spacing w:line="360" w:lineRule="exact"/>
              <w:jc w:val="center"/>
              <w:rPr>
                <w:rStyle w:val="62"/>
                <w:rFonts w:ascii="宋体" w:hAnsi="宋体" w:cs="宋体"/>
                <w:b w:val="0"/>
                <w:bCs w:val="0"/>
                <w:sz w:val="20"/>
                <w:szCs w:val="20"/>
              </w:rPr>
            </w:pPr>
            <w:r>
              <w:rPr>
                <w:rStyle w:val="62"/>
                <w:rFonts w:hint="eastAsia" w:ascii="宋体" w:hAnsi="宋体" w:cs="宋体"/>
                <w:b w:val="0"/>
                <w:bCs w:val="0"/>
                <w:sz w:val="20"/>
                <w:szCs w:val="20"/>
              </w:rPr>
              <w:t>1</w:t>
            </w:r>
          </w:p>
        </w:tc>
        <w:tc>
          <w:tcPr>
            <w:tcW w:w="2970" w:type="dxa"/>
          </w:tcPr>
          <w:p>
            <w:pPr>
              <w:tabs>
                <w:tab w:val="left" w:pos="1440"/>
              </w:tabs>
              <w:snapToGrid w:val="0"/>
              <w:spacing w:line="360" w:lineRule="exact"/>
              <w:rPr>
                <w:rStyle w:val="62"/>
                <w:rFonts w:ascii="宋体" w:hAnsi="宋体" w:cs="宋体"/>
                <w:b w:val="0"/>
                <w:szCs w:val="21"/>
              </w:rPr>
            </w:pPr>
          </w:p>
        </w:tc>
        <w:tc>
          <w:tcPr>
            <w:tcW w:w="3029" w:type="dxa"/>
          </w:tcPr>
          <w:p>
            <w:pPr>
              <w:snapToGrid w:val="0"/>
              <w:spacing w:line="360" w:lineRule="exact"/>
              <w:rPr>
                <w:rFonts w:ascii="宋体" w:hAnsi="宋体" w:cs="宋体"/>
                <w:bCs/>
              </w:rPr>
            </w:pPr>
            <w:r>
              <w:rPr>
                <w:rFonts w:hint="eastAsia" w:ascii="宋体" w:hAnsi="宋体" w:cs="宋体"/>
                <w:bCs/>
              </w:rPr>
              <w:t>投标人根据实际情况填写</w:t>
            </w:r>
          </w:p>
        </w:tc>
        <w:tc>
          <w:tcPr>
            <w:tcW w:w="2126" w:type="dxa"/>
          </w:tcPr>
          <w:p>
            <w:pPr>
              <w:snapToGrid w:val="0"/>
              <w:spacing w:line="360" w:lineRule="exact"/>
              <w:rPr>
                <w:rFonts w:ascii="宋体" w:hAnsi="宋体" w:cs="宋体"/>
              </w:rPr>
            </w:pPr>
            <w:r>
              <w:rPr>
                <w:rFonts w:hint="eastAsia" w:ascii="宋体" w:hAnsi="宋体" w:cs="宋体"/>
              </w:rPr>
              <w:t>投标人根据实际情况填写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339" w:type="dxa"/>
          </w:tcPr>
          <w:p>
            <w:pPr>
              <w:snapToGrid w:val="0"/>
              <w:spacing w:line="360" w:lineRule="exact"/>
              <w:jc w:val="center"/>
              <w:rPr>
                <w:rStyle w:val="62"/>
                <w:rFonts w:ascii="宋体" w:hAnsi="宋体" w:cs="宋体"/>
                <w:b w:val="0"/>
                <w:bCs w:val="0"/>
                <w:sz w:val="20"/>
                <w:szCs w:val="20"/>
              </w:rPr>
            </w:pPr>
            <w:r>
              <w:rPr>
                <w:rStyle w:val="62"/>
                <w:rFonts w:hint="eastAsia" w:ascii="宋体" w:hAnsi="宋体" w:cs="宋体"/>
                <w:b w:val="0"/>
                <w:bCs w:val="0"/>
                <w:sz w:val="20"/>
                <w:szCs w:val="20"/>
              </w:rPr>
              <w:t>2</w:t>
            </w:r>
          </w:p>
        </w:tc>
        <w:tc>
          <w:tcPr>
            <w:tcW w:w="2970" w:type="dxa"/>
          </w:tcPr>
          <w:p>
            <w:pPr>
              <w:tabs>
                <w:tab w:val="left" w:pos="1440"/>
              </w:tabs>
              <w:snapToGrid w:val="0"/>
              <w:spacing w:line="360" w:lineRule="exact"/>
              <w:rPr>
                <w:rStyle w:val="62"/>
                <w:rFonts w:ascii="宋体" w:hAnsi="宋体" w:cs="宋体"/>
                <w:b w:val="0"/>
                <w:szCs w:val="21"/>
              </w:rPr>
            </w:pPr>
          </w:p>
        </w:tc>
        <w:tc>
          <w:tcPr>
            <w:tcW w:w="3029" w:type="dxa"/>
          </w:tcPr>
          <w:p>
            <w:pPr>
              <w:snapToGrid w:val="0"/>
              <w:spacing w:line="360" w:lineRule="exact"/>
              <w:rPr>
                <w:rFonts w:ascii="宋体" w:hAnsi="宋体" w:cs="宋体"/>
                <w:bCs/>
              </w:rPr>
            </w:pPr>
          </w:p>
        </w:tc>
        <w:tc>
          <w:tcPr>
            <w:tcW w:w="2126" w:type="dxa"/>
          </w:tcPr>
          <w:p>
            <w:pPr>
              <w:snapToGrid w:val="0"/>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339" w:type="dxa"/>
          </w:tcPr>
          <w:p>
            <w:pPr>
              <w:snapToGrid w:val="0"/>
              <w:spacing w:line="360" w:lineRule="exact"/>
              <w:jc w:val="center"/>
              <w:rPr>
                <w:rStyle w:val="62"/>
                <w:rFonts w:ascii="宋体" w:hAnsi="宋体" w:cs="宋体"/>
                <w:b w:val="0"/>
                <w:bCs w:val="0"/>
                <w:sz w:val="20"/>
                <w:szCs w:val="20"/>
              </w:rPr>
            </w:pPr>
            <w:r>
              <w:rPr>
                <w:rStyle w:val="62"/>
                <w:rFonts w:hint="eastAsia" w:ascii="宋体" w:hAnsi="宋体" w:cs="宋体"/>
                <w:b w:val="0"/>
                <w:bCs w:val="0"/>
                <w:sz w:val="20"/>
                <w:szCs w:val="20"/>
              </w:rPr>
              <w:t>3</w:t>
            </w:r>
          </w:p>
        </w:tc>
        <w:tc>
          <w:tcPr>
            <w:tcW w:w="2970" w:type="dxa"/>
          </w:tcPr>
          <w:p>
            <w:pPr>
              <w:tabs>
                <w:tab w:val="left" w:pos="1440"/>
              </w:tabs>
              <w:snapToGrid w:val="0"/>
              <w:spacing w:line="360" w:lineRule="exact"/>
              <w:rPr>
                <w:rStyle w:val="62"/>
                <w:rFonts w:ascii="宋体" w:hAnsi="宋体" w:cs="宋体"/>
                <w:b w:val="0"/>
                <w:szCs w:val="21"/>
              </w:rPr>
            </w:pPr>
          </w:p>
        </w:tc>
        <w:tc>
          <w:tcPr>
            <w:tcW w:w="3029" w:type="dxa"/>
          </w:tcPr>
          <w:p>
            <w:pPr>
              <w:snapToGrid w:val="0"/>
              <w:spacing w:line="360" w:lineRule="exact"/>
              <w:rPr>
                <w:rFonts w:ascii="宋体" w:hAnsi="宋体" w:cs="宋体"/>
                <w:bCs/>
              </w:rPr>
            </w:pPr>
          </w:p>
        </w:tc>
        <w:tc>
          <w:tcPr>
            <w:tcW w:w="2126" w:type="dxa"/>
          </w:tcPr>
          <w:p>
            <w:pPr>
              <w:snapToGrid w:val="0"/>
              <w:spacing w:line="36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339" w:type="dxa"/>
          </w:tcPr>
          <w:p>
            <w:pPr>
              <w:snapToGrid w:val="0"/>
              <w:spacing w:line="360" w:lineRule="exact"/>
              <w:jc w:val="center"/>
              <w:rPr>
                <w:rStyle w:val="62"/>
                <w:rFonts w:ascii="宋体" w:hAnsi="宋体" w:cs="宋体"/>
                <w:b w:val="0"/>
                <w:bCs w:val="0"/>
                <w:sz w:val="20"/>
                <w:szCs w:val="20"/>
              </w:rPr>
            </w:pPr>
            <w:r>
              <w:rPr>
                <w:rStyle w:val="62"/>
                <w:rFonts w:hint="eastAsia" w:ascii="宋体" w:hAnsi="宋体" w:cs="宋体"/>
                <w:b w:val="0"/>
                <w:bCs w:val="0"/>
                <w:sz w:val="20"/>
                <w:szCs w:val="20"/>
              </w:rPr>
              <w:t>…</w:t>
            </w:r>
          </w:p>
        </w:tc>
        <w:tc>
          <w:tcPr>
            <w:tcW w:w="2970" w:type="dxa"/>
          </w:tcPr>
          <w:p>
            <w:pPr>
              <w:tabs>
                <w:tab w:val="left" w:pos="1440"/>
              </w:tabs>
              <w:snapToGrid w:val="0"/>
              <w:spacing w:line="360" w:lineRule="exact"/>
              <w:rPr>
                <w:rStyle w:val="62"/>
                <w:rFonts w:ascii="宋体" w:hAnsi="宋体" w:cs="宋体"/>
                <w:b w:val="0"/>
                <w:szCs w:val="21"/>
              </w:rPr>
            </w:pPr>
          </w:p>
        </w:tc>
        <w:tc>
          <w:tcPr>
            <w:tcW w:w="3029" w:type="dxa"/>
          </w:tcPr>
          <w:p>
            <w:pPr>
              <w:snapToGrid w:val="0"/>
              <w:spacing w:line="360" w:lineRule="exact"/>
              <w:rPr>
                <w:rFonts w:ascii="宋体" w:hAnsi="宋体" w:cs="宋体"/>
                <w:bCs/>
              </w:rPr>
            </w:pPr>
          </w:p>
        </w:tc>
        <w:tc>
          <w:tcPr>
            <w:tcW w:w="2126" w:type="dxa"/>
          </w:tcPr>
          <w:p>
            <w:pPr>
              <w:snapToGrid w:val="0"/>
              <w:spacing w:line="360" w:lineRule="exact"/>
              <w:rPr>
                <w:rFonts w:ascii="宋体" w:hAnsi="宋体" w:cs="宋体"/>
              </w:rPr>
            </w:pPr>
          </w:p>
        </w:tc>
      </w:tr>
    </w:tbl>
    <w:p>
      <w:pPr>
        <w:bidi w:val="0"/>
        <w:rPr>
          <w:rFonts w:ascii="宋体" w:hAnsi="宋体" w:cs="宋体"/>
          <w:b/>
          <w:bCs/>
          <w:szCs w:val="21"/>
        </w:rPr>
      </w:pPr>
      <w:r>
        <w:rPr>
          <w:rFonts w:hint="eastAsia"/>
          <w:b/>
          <w:bCs/>
        </w:rPr>
        <w:t>注：</w:t>
      </w:r>
    </w:p>
    <w:p>
      <w:pPr>
        <w:rPr>
          <w:rFonts w:ascii="宋体" w:hAnsi="宋体" w:cs="宋体"/>
          <w:b/>
          <w:bCs/>
          <w:szCs w:val="21"/>
        </w:rPr>
      </w:pPr>
      <w:r>
        <w:rPr>
          <w:rFonts w:hint="eastAsia" w:ascii="宋体" w:hAnsi="宋体" w:cs="宋体"/>
          <w:b/>
          <w:bCs/>
          <w:szCs w:val="21"/>
        </w:rPr>
        <w:t>（1）第二章招标项目要求中打“*”的条款必须满足，否则作投标无效处理。</w:t>
      </w:r>
    </w:p>
    <w:p>
      <w:pPr>
        <w:spacing w:line="360" w:lineRule="auto"/>
        <w:rPr>
          <w:rFonts w:ascii="宋体" w:hAnsi="宋体" w:cs="宋体"/>
          <w:b/>
          <w:bCs/>
          <w:szCs w:val="21"/>
        </w:rPr>
      </w:pPr>
      <w:r>
        <w:rPr>
          <w:rFonts w:hint="eastAsia" w:ascii="宋体" w:hAnsi="宋体" w:cs="宋体"/>
          <w:b/>
          <w:bCs/>
          <w:szCs w:val="21"/>
        </w:rPr>
        <w:t>（2）评标委员会有权对以谋取中标为目的的技术规格模糊响应（如有意照搬照抄招标文件的技术要求）或虚假响应予以认定，投标人上述行为一经发现或查实，将扣除相应分数或投标无效。</w:t>
      </w:r>
    </w:p>
    <w:p>
      <w:pPr>
        <w:spacing w:line="360" w:lineRule="auto"/>
        <w:rPr>
          <w:rFonts w:ascii="宋体" w:hAnsi="宋体" w:cs="宋体"/>
          <w:b/>
          <w:bCs/>
          <w:szCs w:val="21"/>
        </w:rPr>
      </w:pPr>
    </w:p>
    <w:p>
      <w:pPr>
        <w:spacing w:line="360" w:lineRule="auto"/>
        <w:rPr>
          <w:rFonts w:ascii="宋体" w:hAnsi="宋体"/>
          <w:sz w:val="24"/>
          <w:u w:val="single"/>
        </w:rPr>
      </w:pPr>
      <w:r>
        <w:rPr>
          <w:rFonts w:hint="eastAsia" w:ascii="宋体" w:hAnsi="宋体"/>
          <w:sz w:val="24"/>
        </w:rPr>
        <w:t>法定代表人或委托授权人（签字或盖章）：</w:t>
      </w:r>
      <w:r>
        <w:rPr>
          <w:rFonts w:hint="eastAsia" w:ascii="宋体" w:hAnsi="宋体"/>
          <w:sz w:val="24"/>
          <w:u w:val="single"/>
        </w:rPr>
        <w:t xml:space="preserve">                 </w:t>
      </w:r>
    </w:p>
    <w:p>
      <w:pPr>
        <w:rPr>
          <w:rFonts w:ascii="宋体" w:hAnsi="宋体"/>
          <w:sz w:val="24"/>
        </w:rPr>
      </w:pPr>
      <w:r>
        <w:rPr>
          <w:rFonts w:hint="eastAsia" w:ascii="宋体" w:hAnsi="宋体"/>
          <w:sz w:val="24"/>
        </w:rPr>
        <w:t>投标单位：（盖章）</w:t>
      </w:r>
      <w:r>
        <w:rPr>
          <w:rFonts w:hint="eastAsia" w:ascii="宋体" w:hAnsi="宋体"/>
          <w:sz w:val="24"/>
          <w:u w:val="single"/>
        </w:rPr>
        <w:t xml:space="preserve">                  </w:t>
      </w:r>
    </w:p>
    <w:p>
      <w:pPr>
        <w:spacing w:line="360" w:lineRule="auto"/>
        <w:rPr>
          <w:rFonts w:ascii="宋体" w:hAnsi="宋体"/>
          <w:sz w:val="24"/>
        </w:rPr>
      </w:pPr>
    </w:p>
    <w:p>
      <w:pPr>
        <w:spacing w:line="360" w:lineRule="auto"/>
        <w:ind w:firstLine="120" w:firstLineChars="50"/>
        <w:rPr>
          <w:rFonts w:ascii="宋体" w:hAnsi="宋体"/>
          <w:sz w:val="24"/>
        </w:rPr>
      </w:pPr>
      <w:r>
        <w:rPr>
          <w:rFonts w:hint="eastAsia" w:ascii="宋体" w:hAnsi="宋体"/>
          <w:sz w:val="24"/>
        </w:rPr>
        <w:t>日  期 ：</w:t>
      </w:r>
      <w:r>
        <w:rPr>
          <w:rFonts w:hint="eastAsia" w:ascii="宋体" w:hAnsi="宋体"/>
          <w:sz w:val="24"/>
          <w:u w:val="single"/>
        </w:rPr>
        <w:t xml:space="preserve">                    </w:t>
      </w:r>
    </w:p>
    <w:p>
      <w:pPr>
        <w:pStyle w:val="4"/>
        <w:numPr>
          <w:ilvl w:val="0"/>
          <w:numId w:val="0"/>
        </w:numPr>
        <w:ind w:left="576" w:hanging="576"/>
        <w:rPr>
          <w:sz w:val="24"/>
          <w:szCs w:val="24"/>
        </w:rPr>
      </w:pPr>
      <w:r>
        <w:rPr>
          <w:b w:val="0"/>
          <w:bCs/>
          <w:sz w:val="24"/>
          <w:szCs w:val="24"/>
        </w:rPr>
        <w:br w:type="page"/>
      </w:r>
      <w:bookmarkStart w:id="79" w:name="_Toc19674"/>
      <w:r>
        <w:rPr>
          <w:rFonts w:hint="eastAsia"/>
          <w:sz w:val="24"/>
          <w:szCs w:val="24"/>
        </w:rPr>
        <w:t>附件6：</w:t>
      </w:r>
      <w:r>
        <w:rPr>
          <w:rFonts w:hint="eastAsia"/>
          <w:snapToGrid w:val="0"/>
          <w:sz w:val="28"/>
        </w:rPr>
        <w:t>投标人资格证明文件</w:t>
      </w:r>
      <w:bookmarkEnd w:id="79"/>
    </w:p>
    <w:p>
      <w:pPr>
        <w:spacing w:line="360" w:lineRule="auto"/>
        <w:ind w:firstLine="480" w:firstLineChars="200"/>
        <w:rPr>
          <w:rFonts w:ascii="宋体" w:hAnsi="宋体"/>
          <w:sz w:val="24"/>
        </w:rPr>
      </w:pPr>
      <w:r>
        <w:rPr>
          <w:rFonts w:hint="eastAsia" w:ascii="宋体" w:hAnsi="宋体"/>
          <w:sz w:val="24"/>
        </w:rPr>
        <w:t>包括：法定代表人证明书（原件）、法人授权委托证明书（原件）、投标人代表身份证复印件、企业营业执照副本复印件、企业资质证书复印件(含正、副本)、投标人资质及相关要求中所规定的其他证明文件（复印件）。</w:t>
      </w:r>
    </w:p>
    <w:p>
      <w:pPr>
        <w:spacing w:line="360" w:lineRule="auto"/>
        <w:ind w:firstLine="480" w:firstLineChars="200"/>
        <w:rPr>
          <w:rFonts w:ascii="宋体" w:hAnsi="宋体"/>
          <w:b/>
          <w:bCs/>
          <w:sz w:val="24"/>
        </w:rPr>
      </w:pPr>
      <w:r>
        <w:rPr>
          <w:rFonts w:hint="eastAsia" w:ascii="宋体" w:hAnsi="宋体"/>
          <w:sz w:val="24"/>
        </w:rPr>
        <w:t>所有证件的复印件需加盖公章，所有证件的原件{企业营业执照、企业资质证书的副本、授权代表身份证}须由投标代表携带到开标现场备查</w:t>
      </w:r>
      <w:r>
        <w:rPr>
          <w:rFonts w:hint="eastAsia" w:ascii="宋体" w:hAnsi="宋体"/>
          <w:b/>
          <w:bCs/>
          <w:sz w:val="24"/>
        </w:rPr>
        <w:t>。</w:t>
      </w:r>
    </w:p>
    <w:p>
      <w:pPr>
        <w:spacing w:line="360" w:lineRule="auto"/>
        <w:rPr>
          <w:rFonts w:ascii="宋体" w:hAnsi="宋体"/>
          <w:sz w:val="24"/>
        </w:rPr>
      </w:pPr>
    </w:p>
    <w:p>
      <w:pPr>
        <w:pStyle w:val="4"/>
        <w:numPr>
          <w:ilvl w:val="0"/>
          <w:numId w:val="0"/>
        </w:numPr>
        <w:ind w:left="576" w:hanging="576"/>
        <w:rPr>
          <w:sz w:val="24"/>
        </w:rPr>
      </w:pPr>
      <w:bookmarkStart w:id="80" w:name="_Toc953"/>
      <w:r>
        <w:rPr>
          <w:rFonts w:hint="eastAsia"/>
          <w:sz w:val="24"/>
          <w:szCs w:val="24"/>
        </w:rPr>
        <w:t>附件7：</w:t>
      </w:r>
      <w:r>
        <w:rPr>
          <w:rFonts w:hint="eastAsia"/>
          <w:sz w:val="24"/>
        </w:rPr>
        <w:t>投标单位基本情况介绍，拟指定项目负责人介绍（格式自拟）；</w:t>
      </w:r>
      <w:bookmarkEnd w:id="80"/>
    </w:p>
    <w:p>
      <w:pPr>
        <w:pStyle w:val="4"/>
        <w:numPr>
          <w:ilvl w:val="0"/>
          <w:numId w:val="0"/>
        </w:numPr>
        <w:ind w:left="576" w:hanging="576"/>
        <w:rPr>
          <w:sz w:val="24"/>
        </w:rPr>
      </w:pPr>
      <w:bookmarkStart w:id="81" w:name="_Toc12965"/>
      <w:r>
        <w:rPr>
          <w:rFonts w:hint="eastAsia"/>
          <w:sz w:val="24"/>
        </w:rPr>
        <w:t>附件8：项目实施方案（格式自拟）</w:t>
      </w:r>
      <w:bookmarkEnd w:id="81"/>
    </w:p>
    <w:p>
      <w:pPr>
        <w:pStyle w:val="4"/>
        <w:numPr>
          <w:ilvl w:val="0"/>
          <w:numId w:val="0"/>
        </w:numPr>
        <w:ind w:left="576" w:hanging="576"/>
        <w:rPr>
          <w:sz w:val="24"/>
          <w:szCs w:val="24"/>
        </w:rPr>
      </w:pPr>
      <w:bookmarkStart w:id="82" w:name="_Toc727"/>
      <w:r>
        <w:rPr>
          <w:rFonts w:hint="eastAsia"/>
          <w:sz w:val="24"/>
          <w:szCs w:val="24"/>
        </w:rPr>
        <w:t>附件9：其他投标人认为需增加的内容（如其他承诺）</w:t>
      </w:r>
      <w:bookmarkEnd w:id="82"/>
    </w:p>
    <w:p/>
    <w:p>
      <w:pPr>
        <w:pStyle w:val="4"/>
        <w:numPr>
          <w:ilvl w:val="0"/>
          <w:numId w:val="0"/>
        </w:numPr>
        <w:ind w:left="576" w:hanging="576"/>
        <w:rPr>
          <w:sz w:val="24"/>
          <w:szCs w:val="24"/>
        </w:rPr>
      </w:pPr>
    </w:p>
    <w:sectPr>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page" w:x="10198" w:y="-13"/>
      <w:rPr>
        <w:rStyle w:val="31"/>
      </w:rPr>
    </w:pPr>
    <w:r>
      <w:fldChar w:fldCharType="begin"/>
    </w:r>
    <w:r>
      <w:rPr>
        <w:rStyle w:val="31"/>
      </w:rPr>
      <w:instrText xml:space="preserve">PAGE  </w:instrText>
    </w:r>
    <w:r>
      <w:fldChar w:fldCharType="separate"/>
    </w:r>
    <w:r>
      <w:rPr>
        <w:rStyle w:val="31"/>
      </w:rPr>
      <w:t>6</w:t>
    </w:r>
    <w:r>
      <w:fldChar w:fldCharType="end"/>
    </w:r>
  </w:p>
  <w:p>
    <w:pPr>
      <w:pStyle w:val="22"/>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F66AC"/>
    <w:multiLevelType w:val="multilevel"/>
    <w:tmpl w:val="031F66AC"/>
    <w:lvl w:ilvl="0" w:tentative="0">
      <w:start w:val="1"/>
      <w:numFmt w:val="decimal"/>
      <w:lvlText w:val="%1."/>
      <w:lvlJc w:val="left"/>
      <w:pPr>
        <w:ind w:left="988"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
    <w:nsid w:val="09E25119"/>
    <w:multiLevelType w:val="multilevel"/>
    <w:tmpl w:val="09E25119"/>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
    <w:nsid w:val="0C136212"/>
    <w:multiLevelType w:val="multilevel"/>
    <w:tmpl w:val="0C136212"/>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3">
    <w:nsid w:val="0C22379C"/>
    <w:multiLevelType w:val="multilevel"/>
    <w:tmpl w:val="0C22379C"/>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4">
    <w:nsid w:val="0C73599C"/>
    <w:multiLevelType w:val="multilevel"/>
    <w:tmpl w:val="0C73599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8AC3E27"/>
    <w:multiLevelType w:val="multilevel"/>
    <w:tmpl w:val="18AC3E27"/>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6">
    <w:nsid w:val="21AA30A9"/>
    <w:multiLevelType w:val="multilevel"/>
    <w:tmpl w:val="21AA30A9"/>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7">
    <w:nsid w:val="21E9254B"/>
    <w:multiLevelType w:val="multilevel"/>
    <w:tmpl w:val="21E9254B"/>
    <w:lvl w:ilvl="0" w:tentative="0">
      <w:start w:val="2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762ED4"/>
    <w:multiLevelType w:val="multilevel"/>
    <w:tmpl w:val="22762ED4"/>
    <w:lvl w:ilvl="0" w:tentative="0">
      <w:start w:val="1"/>
      <w:numFmt w:val="chineseCountingThousand"/>
      <w:pStyle w:val="43"/>
      <w:suff w:val="nothing"/>
      <w:lvlText w:val="%1、"/>
      <w:lvlJc w:val="left"/>
      <w:pPr>
        <w:ind w:left="0" w:firstLine="0"/>
      </w:pPr>
      <w:rPr>
        <w:rFonts w:hint="eastAsia"/>
        <w:sz w:val="28"/>
        <w:szCs w:val="28"/>
      </w:rPr>
    </w:lvl>
    <w:lvl w:ilvl="1" w:tentative="0">
      <w:start w:val="1"/>
      <w:numFmt w:val="none"/>
      <w:suff w:val="nothing"/>
      <w:lvlText w:val="%1."/>
      <w:lvlJc w:val="left"/>
      <w:pPr>
        <w:ind w:left="0" w:firstLine="567"/>
      </w:pPr>
      <w:rPr>
        <w:rFonts w:hint="eastAsia"/>
        <w:b w:val="0"/>
        <w:i w:val="0"/>
        <w:sz w:val="28"/>
        <w:szCs w:val="28"/>
      </w:rPr>
    </w:lvl>
    <w:lvl w:ilvl="2" w:tentative="0">
      <w:start w:val="1"/>
      <w:numFmt w:val="decimal"/>
      <w:suff w:val="nothing"/>
      <w:lvlText w:val="%2%1.%3."/>
      <w:lvlJc w:val="left"/>
      <w:pPr>
        <w:ind w:left="0" w:firstLine="567"/>
      </w:pPr>
      <w:rPr>
        <w:rFonts w:hint="eastAsia"/>
        <w:b w:val="0"/>
        <w:i w:val="0"/>
        <w:sz w:val="28"/>
        <w:szCs w:val="28"/>
      </w:rPr>
    </w:lvl>
    <w:lvl w:ilvl="3" w:tentative="0">
      <w:start w:val="1"/>
      <w:numFmt w:val="decimal"/>
      <w:suff w:val="space"/>
      <w:lvlText w:val="%2.%3.%4."/>
      <w:lvlJc w:val="left"/>
      <w:pPr>
        <w:ind w:left="0" w:firstLine="567"/>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7982113"/>
    <w:multiLevelType w:val="multilevel"/>
    <w:tmpl w:val="27982113"/>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0">
    <w:nsid w:val="285740A7"/>
    <w:multiLevelType w:val="multilevel"/>
    <w:tmpl w:val="285740A7"/>
    <w:lvl w:ilvl="0" w:tentative="0">
      <w:start w:val="1"/>
      <w:numFmt w:val="decimalFullWidth"/>
      <w:lvlText w:val="（%1）"/>
      <w:lvlJc w:val="left"/>
      <w:pPr>
        <w:tabs>
          <w:tab w:val="left" w:pos="1800"/>
        </w:tabs>
        <w:ind w:left="1800" w:hanging="84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E6E61B3"/>
    <w:multiLevelType w:val="multilevel"/>
    <w:tmpl w:val="2E6E61B3"/>
    <w:lvl w:ilvl="0" w:tentative="0">
      <w:start w:val="1"/>
      <w:numFmt w:val="decimal"/>
      <w:lvlText w:val="%1)"/>
      <w:lvlJc w:val="left"/>
      <w:pPr>
        <w:tabs>
          <w:tab w:val="left" w:pos="845"/>
        </w:tabs>
        <w:ind w:left="845" w:hanging="420"/>
      </w:pPr>
    </w:lvl>
    <w:lvl w:ilvl="1" w:tentative="0">
      <w:start w:val="1"/>
      <w:numFmt w:val="decimal"/>
      <w:lvlText w:val="%2、"/>
      <w:lvlJc w:val="left"/>
      <w:pPr>
        <w:tabs>
          <w:tab w:val="left" w:pos="1205"/>
        </w:tabs>
        <w:ind w:left="1205" w:hanging="360"/>
      </w:pPr>
      <w:rPr>
        <w:rFonts w:hint="eastAsia"/>
      </w:r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2">
    <w:nsid w:val="359E3E2B"/>
    <w:multiLevelType w:val="multilevel"/>
    <w:tmpl w:val="359E3E2B"/>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3">
    <w:nsid w:val="3EBC6860"/>
    <w:multiLevelType w:val="multilevel"/>
    <w:tmpl w:val="3EBC6860"/>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4">
    <w:nsid w:val="3EDA01DF"/>
    <w:multiLevelType w:val="multilevel"/>
    <w:tmpl w:val="3EDA01DF"/>
    <w:lvl w:ilvl="0" w:tentative="0">
      <w:start w:val="1"/>
      <w:numFmt w:val="decimal"/>
      <w:pStyle w:val="3"/>
      <w:lvlText w:val="第%1章 "/>
      <w:lvlJc w:val="left"/>
      <w:pPr>
        <w:ind w:left="432" w:hanging="432"/>
      </w:pPr>
    </w:lvl>
    <w:lvl w:ilvl="1" w:tentative="0">
      <w:start w:val="1"/>
      <w:numFmt w:val="decimal"/>
      <w:pStyle w:val="4"/>
      <w:lvlText w:val="%1.%2"/>
      <w:lvlJc w:val="left"/>
      <w:pPr>
        <w:ind w:left="576" w:hanging="576"/>
      </w:pPr>
      <w:rPr>
        <w:rFonts w:hint="eastAsia"/>
      </w:rPr>
    </w:lvl>
    <w:lvl w:ilvl="2" w:tentative="0">
      <w:start w:val="1"/>
      <w:numFmt w:val="decimal"/>
      <w:pStyle w:val="5"/>
      <w:lvlText w:val="%1.%2.%3"/>
      <w:lvlJc w:val="left"/>
      <w:pPr>
        <w:ind w:left="720" w:hanging="720"/>
      </w:pPr>
      <w:rPr>
        <w:rFonts w:hint="eastAsia" w:ascii="宋体" w:hAnsi="宋体" w:eastAsia="宋体"/>
        <w:sz w:val="24"/>
        <w:szCs w:val="24"/>
      </w:rPr>
    </w:lvl>
    <w:lvl w:ilvl="3" w:tentative="0">
      <w:start w:val="1"/>
      <w:numFmt w:val="decimal"/>
      <w:pStyle w:val="6"/>
      <w:lvlText w:val="%1.%2.%3.%4"/>
      <w:lvlJc w:val="left"/>
      <w:pPr>
        <w:ind w:left="864" w:hanging="864"/>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5">
    <w:nsid w:val="462B2F74"/>
    <w:multiLevelType w:val="multilevel"/>
    <w:tmpl w:val="462B2F74"/>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6">
    <w:nsid w:val="46381341"/>
    <w:multiLevelType w:val="multilevel"/>
    <w:tmpl w:val="46381341"/>
    <w:lvl w:ilvl="0" w:tentative="0">
      <w:start w:val="1"/>
      <w:numFmt w:val="decimal"/>
      <w:lvlText w:val="%1)"/>
      <w:lvlJc w:val="left"/>
      <w:pPr>
        <w:tabs>
          <w:tab w:val="left" w:pos="1410"/>
        </w:tabs>
        <w:ind w:left="1410" w:hanging="420"/>
      </w:pPr>
    </w:lvl>
    <w:lvl w:ilvl="1" w:tentative="0">
      <w:start w:val="1"/>
      <w:numFmt w:val="decimal"/>
      <w:lvlText w:val="%2、"/>
      <w:lvlJc w:val="left"/>
      <w:pPr>
        <w:tabs>
          <w:tab w:val="left" w:pos="1770"/>
        </w:tabs>
        <w:ind w:left="1770" w:hanging="360"/>
      </w:pPr>
      <w:rPr>
        <w:rFonts w:hint="eastAsia"/>
      </w:rPr>
    </w:lvl>
    <w:lvl w:ilvl="2" w:tentative="0">
      <w:start w:val="1"/>
      <w:numFmt w:val="japaneseCounting"/>
      <w:lvlText w:val="%3、"/>
      <w:lvlJc w:val="left"/>
      <w:pPr>
        <w:tabs>
          <w:tab w:val="left" w:pos="2250"/>
        </w:tabs>
        <w:ind w:left="2250" w:hanging="420"/>
      </w:pPr>
      <w:rPr>
        <w:rFonts w:hint="eastAsia"/>
      </w:rPr>
    </w:lvl>
    <w:lvl w:ilvl="3" w:tentative="0">
      <w:start w:val="1"/>
      <w:numFmt w:val="japaneseCounting"/>
      <w:lvlText w:val="%4．"/>
      <w:lvlJc w:val="left"/>
      <w:pPr>
        <w:tabs>
          <w:tab w:val="left" w:pos="2670"/>
        </w:tabs>
        <w:ind w:left="2670" w:hanging="420"/>
      </w:pPr>
      <w:rPr>
        <w:rFonts w:hint="eastAsia"/>
      </w:r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17">
    <w:nsid w:val="46492683"/>
    <w:multiLevelType w:val="multilevel"/>
    <w:tmpl w:val="46492683"/>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18">
    <w:nsid w:val="47FF4FE4"/>
    <w:multiLevelType w:val="multilevel"/>
    <w:tmpl w:val="47FF4FE4"/>
    <w:lvl w:ilvl="0" w:tentative="0">
      <w:start w:val="1"/>
      <w:numFmt w:val="chineseCountingThousand"/>
      <w:pStyle w:val="40"/>
      <w:suff w:val="nothing"/>
      <w:lvlText w:val="%1、"/>
      <w:lvlJc w:val="left"/>
      <w:pPr>
        <w:ind w:left="0" w:firstLine="0"/>
      </w:pPr>
      <w:rPr>
        <w:rFonts w:hint="eastAsia"/>
        <w:sz w:val="28"/>
        <w:szCs w:val="28"/>
      </w:rPr>
    </w:lvl>
    <w:lvl w:ilvl="1" w:tentative="0">
      <w:start w:val="1"/>
      <w:numFmt w:val="decimal"/>
      <w:suff w:val="nothing"/>
      <w:lvlText w:val="%2."/>
      <w:lvlJc w:val="left"/>
      <w:pPr>
        <w:ind w:left="0" w:firstLine="567"/>
      </w:pPr>
      <w:rPr>
        <w:rFonts w:hint="eastAsia"/>
        <w:b w:val="0"/>
        <w:i w:val="0"/>
        <w:sz w:val="28"/>
        <w:szCs w:val="28"/>
      </w:rPr>
    </w:lvl>
    <w:lvl w:ilvl="2" w:tentative="0">
      <w:start w:val="1"/>
      <w:numFmt w:val="decimal"/>
      <w:pStyle w:val="35"/>
      <w:suff w:val="nothing"/>
      <w:lvlText w:val="%3)."/>
      <w:lvlJc w:val="left"/>
      <w:pPr>
        <w:ind w:left="0" w:firstLine="567"/>
      </w:pPr>
      <w:rPr>
        <w:rFonts w:hint="eastAsia"/>
        <w:b w:val="0"/>
        <w:i w:val="0"/>
        <w:sz w:val="28"/>
        <w:szCs w:val="28"/>
      </w:rPr>
    </w:lvl>
    <w:lvl w:ilvl="3" w:tentative="0">
      <w:start w:val="1"/>
      <w:numFmt w:val="lowerLetter"/>
      <w:pStyle w:val="39"/>
      <w:suff w:val="space"/>
      <w:lvlText w:val="%4."/>
      <w:lvlJc w:val="left"/>
      <w:pPr>
        <w:ind w:left="0" w:firstLine="624"/>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decimal"/>
      <w:suff w:val="nothing"/>
      <w:lvlText w:val="%6)."/>
      <w:lvlJc w:val="left"/>
      <w:pPr>
        <w:ind w:left="0" w:firstLine="567"/>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4ED5024F"/>
    <w:multiLevelType w:val="multilevel"/>
    <w:tmpl w:val="4ED5024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E4448B"/>
    <w:multiLevelType w:val="multilevel"/>
    <w:tmpl w:val="4EE4448B"/>
    <w:lvl w:ilvl="0" w:tentative="0">
      <w:start w:val="1"/>
      <w:numFmt w:val="decimal"/>
      <w:lvlText w:val="%1."/>
      <w:lvlJc w:val="left"/>
      <w:pPr>
        <w:ind w:left="988"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1">
    <w:nsid w:val="50017C82"/>
    <w:multiLevelType w:val="multilevel"/>
    <w:tmpl w:val="50017C82"/>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2">
    <w:nsid w:val="5ACA2E43"/>
    <w:multiLevelType w:val="multilevel"/>
    <w:tmpl w:val="5ACA2E43"/>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3">
    <w:nsid w:val="5E4A13D9"/>
    <w:multiLevelType w:val="multilevel"/>
    <w:tmpl w:val="5E4A13D9"/>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4">
    <w:nsid w:val="5EF93DCF"/>
    <w:multiLevelType w:val="multilevel"/>
    <w:tmpl w:val="5EF93DCF"/>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5">
    <w:nsid w:val="67E509B6"/>
    <w:multiLevelType w:val="multilevel"/>
    <w:tmpl w:val="67E509B6"/>
    <w:lvl w:ilvl="0" w:tentative="0">
      <w:start w:val="1"/>
      <w:numFmt w:val="decimal"/>
      <w:lvlText w:val="%1."/>
      <w:lvlJc w:val="left"/>
      <w:pPr>
        <w:ind w:left="985" w:hanging="420"/>
      </w:p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6">
    <w:nsid w:val="6F9320AF"/>
    <w:multiLevelType w:val="multilevel"/>
    <w:tmpl w:val="6F9320AF"/>
    <w:lvl w:ilvl="0" w:tentative="0">
      <w:start w:val="1"/>
      <w:numFmt w:val="decimal"/>
      <w:lvlText w:val="%1."/>
      <w:lvlJc w:val="left"/>
      <w:pPr>
        <w:ind w:left="985"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7">
    <w:nsid w:val="6FF2793A"/>
    <w:multiLevelType w:val="multilevel"/>
    <w:tmpl w:val="6FF279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3887025"/>
    <w:multiLevelType w:val="multilevel"/>
    <w:tmpl w:val="73887025"/>
    <w:lvl w:ilvl="0" w:tentative="0">
      <w:start w:val="1"/>
      <w:numFmt w:val="decimal"/>
      <w:pStyle w:val="45"/>
      <w:suff w:val="nothing"/>
      <w:lvlText w:val="%1."/>
      <w:lvlJc w:val="left"/>
      <w:pPr>
        <w:ind w:left="180" w:firstLine="0"/>
      </w:pPr>
      <w:rPr>
        <w:rFonts w:hint="eastAsia" w:ascii="宋体" w:hAnsi="宋体" w:eastAsia="宋体"/>
        <w:b w:val="0"/>
        <w:i w:val="0"/>
        <w:caps w:val="0"/>
        <w:strike w:val="0"/>
        <w:dstrike w:val="0"/>
        <w:outline w:val="0"/>
        <w:shadow w:val="0"/>
        <w:emboss w:val="0"/>
        <w:imprint w:val="0"/>
        <w:vanish w:val="0"/>
        <w:spacing w:val="0"/>
        <w:position w:val="0"/>
        <w:sz w:val="24"/>
        <w:szCs w:val="24"/>
        <w:vertAlign w:val="baseline"/>
      </w:rPr>
    </w:lvl>
    <w:lvl w:ilvl="1" w:tentative="0">
      <w:start w:val="1"/>
      <w:numFmt w:val="decimal"/>
      <w:pStyle w:val="42"/>
      <w:suff w:val="nothing"/>
      <w:lvlText w:val="%1.%2"/>
      <w:lvlJc w:val="left"/>
      <w:pPr>
        <w:ind w:left="4736" w:hanging="3836"/>
      </w:pPr>
      <w:rPr>
        <w:rFonts w:hint="eastAsia" w:cs="Times New Roman"/>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2" w:tentative="0">
      <w:start w:val="1"/>
      <w:numFmt w:val="decimal"/>
      <w:pStyle w:val="38"/>
      <w:suff w:val="nothing"/>
      <w:lvlText w:val="%3）"/>
      <w:lvlJc w:val="left"/>
      <w:pPr>
        <w:ind w:left="890" w:hanging="170"/>
      </w:pPr>
      <w:rPr>
        <w:b w:val="0"/>
        <w:i w:val="0"/>
        <w:strike w:val="0"/>
        <w:outline w:val="0"/>
        <w:color w:val="000000"/>
      </w:rPr>
    </w:lvl>
    <w:lvl w:ilvl="3" w:tentative="0">
      <w:start w:val="1"/>
      <w:numFmt w:val="decimal"/>
      <w:pStyle w:val="36"/>
      <w:suff w:val="nothing"/>
      <w:lvlText w:val="%1.%2.%3.%4"/>
      <w:lvlJc w:val="left"/>
      <w:pPr>
        <w:ind w:left="284" w:hanging="227"/>
      </w:pPr>
      <w:rPr>
        <w:rFonts w:hint="eastAsia"/>
        <w:b w:val="0"/>
        <w:i w:val="0"/>
      </w:rPr>
    </w:lvl>
    <w:lvl w:ilvl="4" w:tentative="0">
      <w:start w:val="1"/>
      <w:numFmt w:val="decimal"/>
      <w:pStyle w:val="41"/>
      <w:suff w:val="nothing"/>
      <w:lvlText w:val="%1.%2.%3.%4.%5"/>
      <w:lvlJc w:val="left"/>
      <w:pPr>
        <w:ind w:left="397" w:hanging="340"/>
      </w:pPr>
      <w:rPr>
        <w:rFonts w:hint="eastAsia" w:ascii="宋体" w:eastAsia="宋体"/>
        <w:b w:val="0"/>
        <w:i w:val="0"/>
        <w:caps w:val="0"/>
        <w:strike w:val="0"/>
        <w:dstrike w:val="0"/>
        <w:outline w:val="0"/>
        <w:shadow w:val="0"/>
        <w:emboss w:val="0"/>
        <w:imprint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29">
    <w:nsid w:val="75E119C3"/>
    <w:multiLevelType w:val="multilevel"/>
    <w:tmpl w:val="75E119C3"/>
    <w:lvl w:ilvl="0" w:tentative="0">
      <w:start w:val="1"/>
      <w:numFmt w:val="decimal"/>
      <w:lvlText w:val="%1)"/>
      <w:lvlJc w:val="left"/>
      <w:pPr>
        <w:tabs>
          <w:tab w:val="left" w:pos="1410"/>
        </w:tabs>
        <w:ind w:left="1410" w:hanging="420"/>
      </w:pPr>
    </w:lvl>
    <w:lvl w:ilvl="1" w:tentative="0">
      <w:start w:val="1"/>
      <w:numFmt w:val="decimal"/>
      <w:lvlText w:val="%2、"/>
      <w:lvlJc w:val="left"/>
      <w:pPr>
        <w:tabs>
          <w:tab w:val="left" w:pos="1770"/>
        </w:tabs>
        <w:ind w:left="1770" w:hanging="360"/>
      </w:pPr>
      <w:rPr>
        <w:rFonts w:hint="eastAsia"/>
      </w:rPr>
    </w:lvl>
    <w:lvl w:ilvl="2" w:tentative="0">
      <w:start w:val="1"/>
      <w:numFmt w:val="japaneseCounting"/>
      <w:lvlText w:val="%3、"/>
      <w:lvlJc w:val="left"/>
      <w:pPr>
        <w:tabs>
          <w:tab w:val="left" w:pos="2250"/>
        </w:tabs>
        <w:ind w:left="2250" w:hanging="420"/>
      </w:pPr>
      <w:rPr>
        <w:rFonts w:hint="eastAsia"/>
      </w:rPr>
    </w:lvl>
    <w:lvl w:ilvl="3" w:tentative="0">
      <w:start w:val="1"/>
      <w:numFmt w:val="japaneseCounting"/>
      <w:lvlText w:val="%4．"/>
      <w:lvlJc w:val="left"/>
      <w:pPr>
        <w:tabs>
          <w:tab w:val="left" w:pos="2670"/>
        </w:tabs>
        <w:ind w:left="2670" w:hanging="420"/>
      </w:pPr>
      <w:rPr>
        <w:rFonts w:hint="eastAsia"/>
      </w:r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30">
    <w:nsid w:val="7A3A5CB8"/>
    <w:multiLevelType w:val="multilevel"/>
    <w:tmpl w:val="7A3A5CB8"/>
    <w:lvl w:ilvl="0" w:tentative="0">
      <w:start w:val="1"/>
      <w:numFmt w:val="decimal"/>
      <w:lvlText w:val="%1."/>
      <w:lvlJc w:val="left"/>
      <w:pPr>
        <w:ind w:left="988" w:hanging="420"/>
      </w:pPr>
      <w:rPr>
        <w:b w:val="0"/>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31">
    <w:nsid w:val="7B9F475D"/>
    <w:multiLevelType w:val="multilevel"/>
    <w:tmpl w:val="7B9F475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8"/>
  </w:num>
  <w:num w:numId="3">
    <w:abstractNumId w:val="28"/>
  </w:num>
  <w:num w:numId="4">
    <w:abstractNumId w:val="8"/>
  </w:num>
  <w:num w:numId="5">
    <w:abstractNumId w:val="19"/>
  </w:num>
  <w:num w:numId="6">
    <w:abstractNumId w:val="27"/>
  </w:num>
  <w:num w:numId="7">
    <w:abstractNumId w:val="24"/>
  </w:num>
  <w:num w:numId="8">
    <w:abstractNumId w:val="1"/>
  </w:num>
  <w:num w:numId="9">
    <w:abstractNumId w:val="10"/>
  </w:num>
  <w:num w:numId="10">
    <w:abstractNumId w:val="13"/>
  </w:num>
  <w:num w:numId="11">
    <w:abstractNumId w:val="21"/>
  </w:num>
  <w:num w:numId="12">
    <w:abstractNumId w:val="11"/>
  </w:num>
  <w:num w:numId="13">
    <w:abstractNumId w:val="25"/>
  </w:num>
  <w:num w:numId="14">
    <w:abstractNumId w:val="23"/>
  </w:num>
  <w:num w:numId="15">
    <w:abstractNumId w:val="3"/>
  </w:num>
  <w:num w:numId="16">
    <w:abstractNumId w:val="15"/>
  </w:num>
  <w:num w:numId="17">
    <w:abstractNumId w:val="6"/>
  </w:num>
  <w:num w:numId="18">
    <w:abstractNumId w:val="5"/>
  </w:num>
  <w:num w:numId="19">
    <w:abstractNumId w:val="2"/>
  </w:num>
  <w:num w:numId="20">
    <w:abstractNumId w:val="29"/>
  </w:num>
  <w:num w:numId="21">
    <w:abstractNumId w:val="16"/>
  </w:num>
  <w:num w:numId="22">
    <w:abstractNumId w:val="30"/>
  </w:num>
  <w:num w:numId="23">
    <w:abstractNumId w:val="22"/>
  </w:num>
  <w:num w:numId="24">
    <w:abstractNumId w:val="17"/>
  </w:num>
  <w:num w:numId="25">
    <w:abstractNumId w:val="12"/>
  </w:num>
  <w:num w:numId="26">
    <w:abstractNumId w:val="9"/>
  </w:num>
  <w:num w:numId="27">
    <w:abstractNumId w:val="26"/>
  </w:num>
  <w:num w:numId="28">
    <w:abstractNumId w:val="20"/>
  </w:num>
  <w:num w:numId="29">
    <w:abstractNumId w:val="7"/>
  </w:num>
  <w:num w:numId="30">
    <w:abstractNumId w:val="0"/>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0F"/>
    <w:rsid w:val="00000DB4"/>
    <w:rsid w:val="00002BCD"/>
    <w:rsid w:val="00002FD1"/>
    <w:rsid w:val="00004DD4"/>
    <w:rsid w:val="000063A1"/>
    <w:rsid w:val="00006811"/>
    <w:rsid w:val="00010063"/>
    <w:rsid w:val="0001045D"/>
    <w:rsid w:val="00011F0D"/>
    <w:rsid w:val="00012415"/>
    <w:rsid w:val="00013FD9"/>
    <w:rsid w:val="0001489A"/>
    <w:rsid w:val="000159F4"/>
    <w:rsid w:val="000161BF"/>
    <w:rsid w:val="000244ED"/>
    <w:rsid w:val="00024E3E"/>
    <w:rsid w:val="0002584D"/>
    <w:rsid w:val="00025E1F"/>
    <w:rsid w:val="000304A1"/>
    <w:rsid w:val="000307F9"/>
    <w:rsid w:val="000341E7"/>
    <w:rsid w:val="0003492D"/>
    <w:rsid w:val="0003533A"/>
    <w:rsid w:val="00036946"/>
    <w:rsid w:val="000375E1"/>
    <w:rsid w:val="00042AEF"/>
    <w:rsid w:val="00042D73"/>
    <w:rsid w:val="0004324C"/>
    <w:rsid w:val="00045944"/>
    <w:rsid w:val="0004668F"/>
    <w:rsid w:val="00047AA5"/>
    <w:rsid w:val="000510C8"/>
    <w:rsid w:val="000515FA"/>
    <w:rsid w:val="00051E26"/>
    <w:rsid w:val="00052D2D"/>
    <w:rsid w:val="000571BF"/>
    <w:rsid w:val="00060B2E"/>
    <w:rsid w:val="000624A3"/>
    <w:rsid w:val="00062B13"/>
    <w:rsid w:val="000632DA"/>
    <w:rsid w:val="00065A96"/>
    <w:rsid w:val="00065CCD"/>
    <w:rsid w:val="00065D28"/>
    <w:rsid w:val="0006600E"/>
    <w:rsid w:val="000677A0"/>
    <w:rsid w:val="0007063F"/>
    <w:rsid w:val="00074CDE"/>
    <w:rsid w:val="000765CE"/>
    <w:rsid w:val="00080CE8"/>
    <w:rsid w:val="00081078"/>
    <w:rsid w:val="00082C5D"/>
    <w:rsid w:val="00084A9D"/>
    <w:rsid w:val="00085F75"/>
    <w:rsid w:val="00087532"/>
    <w:rsid w:val="00091B53"/>
    <w:rsid w:val="00091D85"/>
    <w:rsid w:val="00091E23"/>
    <w:rsid w:val="000920AC"/>
    <w:rsid w:val="000933F6"/>
    <w:rsid w:val="00093AB3"/>
    <w:rsid w:val="0009630F"/>
    <w:rsid w:val="000A361A"/>
    <w:rsid w:val="000A3AE5"/>
    <w:rsid w:val="000A7712"/>
    <w:rsid w:val="000A7933"/>
    <w:rsid w:val="000A7C6C"/>
    <w:rsid w:val="000B21CC"/>
    <w:rsid w:val="000B2407"/>
    <w:rsid w:val="000B2DBD"/>
    <w:rsid w:val="000B38AA"/>
    <w:rsid w:val="000B44FD"/>
    <w:rsid w:val="000B4515"/>
    <w:rsid w:val="000B6DED"/>
    <w:rsid w:val="000C0185"/>
    <w:rsid w:val="000C06EE"/>
    <w:rsid w:val="000C122D"/>
    <w:rsid w:val="000C2C5F"/>
    <w:rsid w:val="000C36DF"/>
    <w:rsid w:val="000C3D41"/>
    <w:rsid w:val="000C7323"/>
    <w:rsid w:val="000C779E"/>
    <w:rsid w:val="000C7BF9"/>
    <w:rsid w:val="000C7CAC"/>
    <w:rsid w:val="000D14EC"/>
    <w:rsid w:val="000D1845"/>
    <w:rsid w:val="000D3BCF"/>
    <w:rsid w:val="000D492D"/>
    <w:rsid w:val="000D530C"/>
    <w:rsid w:val="000D6470"/>
    <w:rsid w:val="000D785F"/>
    <w:rsid w:val="000D79AA"/>
    <w:rsid w:val="000E0662"/>
    <w:rsid w:val="000E11C9"/>
    <w:rsid w:val="000E189F"/>
    <w:rsid w:val="000E4103"/>
    <w:rsid w:val="000E4EF2"/>
    <w:rsid w:val="000E779B"/>
    <w:rsid w:val="000F0663"/>
    <w:rsid w:val="000F1085"/>
    <w:rsid w:val="000F3C6F"/>
    <w:rsid w:val="000F6B26"/>
    <w:rsid w:val="000F7131"/>
    <w:rsid w:val="00100654"/>
    <w:rsid w:val="001013AA"/>
    <w:rsid w:val="0010181E"/>
    <w:rsid w:val="00104A67"/>
    <w:rsid w:val="00106C7C"/>
    <w:rsid w:val="00106FB7"/>
    <w:rsid w:val="00110254"/>
    <w:rsid w:val="00111256"/>
    <w:rsid w:val="0011359A"/>
    <w:rsid w:val="001161F9"/>
    <w:rsid w:val="00121961"/>
    <w:rsid w:val="00121E63"/>
    <w:rsid w:val="0012265D"/>
    <w:rsid w:val="001229C4"/>
    <w:rsid w:val="00126B0C"/>
    <w:rsid w:val="00127934"/>
    <w:rsid w:val="00130F92"/>
    <w:rsid w:val="00132FDE"/>
    <w:rsid w:val="001335FB"/>
    <w:rsid w:val="001342E4"/>
    <w:rsid w:val="00135AB4"/>
    <w:rsid w:val="00137874"/>
    <w:rsid w:val="00140A0E"/>
    <w:rsid w:val="00141259"/>
    <w:rsid w:val="001418F5"/>
    <w:rsid w:val="00141FF8"/>
    <w:rsid w:val="00145C29"/>
    <w:rsid w:val="0014746D"/>
    <w:rsid w:val="00147D44"/>
    <w:rsid w:val="00150944"/>
    <w:rsid w:val="001532A3"/>
    <w:rsid w:val="00153DAD"/>
    <w:rsid w:val="001545A1"/>
    <w:rsid w:val="001548C0"/>
    <w:rsid w:val="00154A03"/>
    <w:rsid w:val="00155D3C"/>
    <w:rsid w:val="00157C5E"/>
    <w:rsid w:val="0016075C"/>
    <w:rsid w:val="0016262A"/>
    <w:rsid w:val="00165136"/>
    <w:rsid w:val="00166809"/>
    <w:rsid w:val="0016766E"/>
    <w:rsid w:val="00167901"/>
    <w:rsid w:val="001708E1"/>
    <w:rsid w:val="00173A11"/>
    <w:rsid w:val="0017414A"/>
    <w:rsid w:val="00175B8C"/>
    <w:rsid w:val="0017675E"/>
    <w:rsid w:val="0017732B"/>
    <w:rsid w:val="00177E64"/>
    <w:rsid w:val="00177FB1"/>
    <w:rsid w:val="001803C4"/>
    <w:rsid w:val="00180FB2"/>
    <w:rsid w:val="00182353"/>
    <w:rsid w:val="00185D48"/>
    <w:rsid w:val="00185EAE"/>
    <w:rsid w:val="00186006"/>
    <w:rsid w:val="001902DA"/>
    <w:rsid w:val="00191F42"/>
    <w:rsid w:val="0019218A"/>
    <w:rsid w:val="00192B1C"/>
    <w:rsid w:val="00192DCE"/>
    <w:rsid w:val="001949AB"/>
    <w:rsid w:val="00194E25"/>
    <w:rsid w:val="00196D26"/>
    <w:rsid w:val="001A208F"/>
    <w:rsid w:val="001A28B6"/>
    <w:rsid w:val="001A2A87"/>
    <w:rsid w:val="001A36D8"/>
    <w:rsid w:val="001A430F"/>
    <w:rsid w:val="001A598C"/>
    <w:rsid w:val="001A5F08"/>
    <w:rsid w:val="001A6202"/>
    <w:rsid w:val="001A787E"/>
    <w:rsid w:val="001B1E6E"/>
    <w:rsid w:val="001B2002"/>
    <w:rsid w:val="001B4CA2"/>
    <w:rsid w:val="001B651F"/>
    <w:rsid w:val="001C323B"/>
    <w:rsid w:val="001C55A8"/>
    <w:rsid w:val="001C5828"/>
    <w:rsid w:val="001C6DA1"/>
    <w:rsid w:val="001C7764"/>
    <w:rsid w:val="001D10CF"/>
    <w:rsid w:val="001D1EBB"/>
    <w:rsid w:val="001D2BEC"/>
    <w:rsid w:val="001D2CDE"/>
    <w:rsid w:val="001D3A1C"/>
    <w:rsid w:val="001D3A77"/>
    <w:rsid w:val="001D3BF5"/>
    <w:rsid w:val="001D3C1C"/>
    <w:rsid w:val="001D4741"/>
    <w:rsid w:val="001D4E99"/>
    <w:rsid w:val="001E09B4"/>
    <w:rsid w:val="001E0D43"/>
    <w:rsid w:val="001E231D"/>
    <w:rsid w:val="001E2A4D"/>
    <w:rsid w:val="001E438C"/>
    <w:rsid w:val="001E4891"/>
    <w:rsid w:val="001F189D"/>
    <w:rsid w:val="001F2902"/>
    <w:rsid w:val="001F3023"/>
    <w:rsid w:val="001F33F1"/>
    <w:rsid w:val="001F5200"/>
    <w:rsid w:val="001F6C6D"/>
    <w:rsid w:val="00201AE5"/>
    <w:rsid w:val="002022ED"/>
    <w:rsid w:val="0020291E"/>
    <w:rsid w:val="00207245"/>
    <w:rsid w:val="0021114D"/>
    <w:rsid w:val="0021259C"/>
    <w:rsid w:val="00212F97"/>
    <w:rsid w:val="00213271"/>
    <w:rsid w:val="00215DBE"/>
    <w:rsid w:val="00215FE4"/>
    <w:rsid w:val="00222D92"/>
    <w:rsid w:val="0022539F"/>
    <w:rsid w:val="0022692E"/>
    <w:rsid w:val="00230378"/>
    <w:rsid w:val="0023052E"/>
    <w:rsid w:val="0023122F"/>
    <w:rsid w:val="0023138F"/>
    <w:rsid w:val="00233296"/>
    <w:rsid w:val="002352E2"/>
    <w:rsid w:val="00236838"/>
    <w:rsid w:val="00237E9A"/>
    <w:rsid w:val="0024037A"/>
    <w:rsid w:val="0024252B"/>
    <w:rsid w:val="002431D0"/>
    <w:rsid w:val="0024346D"/>
    <w:rsid w:val="00244FCA"/>
    <w:rsid w:val="00245CC1"/>
    <w:rsid w:val="0024640E"/>
    <w:rsid w:val="0024732D"/>
    <w:rsid w:val="002500B6"/>
    <w:rsid w:val="00250816"/>
    <w:rsid w:val="002519A0"/>
    <w:rsid w:val="00254900"/>
    <w:rsid w:val="002565A3"/>
    <w:rsid w:val="00256DB4"/>
    <w:rsid w:val="00257DA9"/>
    <w:rsid w:val="002606DA"/>
    <w:rsid w:val="00260C89"/>
    <w:rsid w:val="0026191E"/>
    <w:rsid w:val="002642F9"/>
    <w:rsid w:val="0026545B"/>
    <w:rsid w:val="00265C0C"/>
    <w:rsid w:val="0026617B"/>
    <w:rsid w:val="00266EDD"/>
    <w:rsid w:val="002678A0"/>
    <w:rsid w:val="002701B2"/>
    <w:rsid w:val="002717AD"/>
    <w:rsid w:val="0027317C"/>
    <w:rsid w:val="00273204"/>
    <w:rsid w:val="00273AAC"/>
    <w:rsid w:val="002752FE"/>
    <w:rsid w:val="00280286"/>
    <w:rsid w:val="002815AD"/>
    <w:rsid w:val="0028220E"/>
    <w:rsid w:val="0028314C"/>
    <w:rsid w:val="00285CEE"/>
    <w:rsid w:val="002863FC"/>
    <w:rsid w:val="00286FAF"/>
    <w:rsid w:val="00287016"/>
    <w:rsid w:val="00290E0E"/>
    <w:rsid w:val="00290F9C"/>
    <w:rsid w:val="00291E3C"/>
    <w:rsid w:val="0029218E"/>
    <w:rsid w:val="00292958"/>
    <w:rsid w:val="00293EC7"/>
    <w:rsid w:val="00296922"/>
    <w:rsid w:val="002976A4"/>
    <w:rsid w:val="002A1A27"/>
    <w:rsid w:val="002A27A2"/>
    <w:rsid w:val="002A3199"/>
    <w:rsid w:val="002A35A6"/>
    <w:rsid w:val="002A3948"/>
    <w:rsid w:val="002B2B07"/>
    <w:rsid w:val="002B3B5B"/>
    <w:rsid w:val="002B45DA"/>
    <w:rsid w:val="002B4617"/>
    <w:rsid w:val="002B4706"/>
    <w:rsid w:val="002B512A"/>
    <w:rsid w:val="002B59FC"/>
    <w:rsid w:val="002B704F"/>
    <w:rsid w:val="002B79FD"/>
    <w:rsid w:val="002C1DD1"/>
    <w:rsid w:val="002C21C5"/>
    <w:rsid w:val="002C286A"/>
    <w:rsid w:val="002C3251"/>
    <w:rsid w:val="002C4213"/>
    <w:rsid w:val="002C430B"/>
    <w:rsid w:val="002C5887"/>
    <w:rsid w:val="002C67AE"/>
    <w:rsid w:val="002D00A1"/>
    <w:rsid w:val="002D178A"/>
    <w:rsid w:val="002D3360"/>
    <w:rsid w:val="002D528B"/>
    <w:rsid w:val="002D63DE"/>
    <w:rsid w:val="002D64BB"/>
    <w:rsid w:val="002D78E1"/>
    <w:rsid w:val="002E1785"/>
    <w:rsid w:val="002E3B89"/>
    <w:rsid w:val="002E5B79"/>
    <w:rsid w:val="002E5CE9"/>
    <w:rsid w:val="002F1296"/>
    <w:rsid w:val="002F35F9"/>
    <w:rsid w:val="002F3645"/>
    <w:rsid w:val="002F36CB"/>
    <w:rsid w:val="002F43E5"/>
    <w:rsid w:val="002F5534"/>
    <w:rsid w:val="002F68F4"/>
    <w:rsid w:val="003017CE"/>
    <w:rsid w:val="00303119"/>
    <w:rsid w:val="00303988"/>
    <w:rsid w:val="00306570"/>
    <w:rsid w:val="00306839"/>
    <w:rsid w:val="00307227"/>
    <w:rsid w:val="003074D9"/>
    <w:rsid w:val="00307D29"/>
    <w:rsid w:val="00311C1D"/>
    <w:rsid w:val="00312695"/>
    <w:rsid w:val="00313D55"/>
    <w:rsid w:val="00313FD5"/>
    <w:rsid w:val="00314933"/>
    <w:rsid w:val="0031540D"/>
    <w:rsid w:val="003206E4"/>
    <w:rsid w:val="00322A93"/>
    <w:rsid w:val="00322AFF"/>
    <w:rsid w:val="00322BE1"/>
    <w:rsid w:val="00323289"/>
    <w:rsid w:val="00323385"/>
    <w:rsid w:val="003244F9"/>
    <w:rsid w:val="0032515A"/>
    <w:rsid w:val="00327B4E"/>
    <w:rsid w:val="00327D21"/>
    <w:rsid w:val="00331709"/>
    <w:rsid w:val="00331ECC"/>
    <w:rsid w:val="0033367E"/>
    <w:rsid w:val="00333973"/>
    <w:rsid w:val="00333C5E"/>
    <w:rsid w:val="00334B34"/>
    <w:rsid w:val="00335A10"/>
    <w:rsid w:val="00337097"/>
    <w:rsid w:val="00340D6C"/>
    <w:rsid w:val="00341F4A"/>
    <w:rsid w:val="003424FE"/>
    <w:rsid w:val="00342684"/>
    <w:rsid w:val="003429AC"/>
    <w:rsid w:val="00342B31"/>
    <w:rsid w:val="00342D37"/>
    <w:rsid w:val="0034354D"/>
    <w:rsid w:val="00343756"/>
    <w:rsid w:val="00343BB4"/>
    <w:rsid w:val="00343F85"/>
    <w:rsid w:val="0034524F"/>
    <w:rsid w:val="00350E04"/>
    <w:rsid w:val="003512E1"/>
    <w:rsid w:val="0035277B"/>
    <w:rsid w:val="00352C5C"/>
    <w:rsid w:val="00353BFE"/>
    <w:rsid w:val="003550B0"/>
    <w:rsid w:val="003553C1"/>
    <w:rsid w:val="00356291"/>
    <w:rsid w:val="00361F10"/>
    <w:rsid w:val="00361F71"/>
    <w:rsid w:val="0036371E"/>
    <w:rsid w:val="00364B73"/>
    <w:rsid w:val="00364DD7"/>
    <w:rsid w:val="00365062"/>
    <w:rsid w:val="00366409"/>
    <w:rsid w:val="0036721A"/>
    <w:rsid w:val="003678A4"/>
    <w:rsid w:val="00367CB9"/>
    <w:rsid w:val="00373CAB"/>
    <w:rsid w:val="00375862"/>
    <w:rsid w:val="0037613B"/>
    <w:rsid w:val="00380BA4"/>
    <w:rsid w:val="00380EAD"/>
    <w:rsid w:val="0038152B"/>
    <w:rsid w:val="00384AEC"/>
    <w:rsid w:val="00384F87"/>
    <w:rsid w:val="003919D5"/>
    <w:rsid w:val="00393C78"/>
    <w:rsid w:val="003944F0"/>
    <w:rsid w:val="00395C96"/>
    <w:rsid w:val="00395F51"/>
    <w:rsid w:val="0039680E"/>
    <w:rsid w:val="003A0373"/>
    <w:rsid w:val="003A0906"/>
    <w:rsid w:val="003A0D5A"/>
    <w:rsid w:val="003A0EA6"/>
    <w:rsid w:val="003A0F1E"/>
    <w:rsid w:val="003A1783"/>
    <w:rsid w:val="003A3F9F"/>
    <w:rsid w:val="003A40AB"/>
    <w:rsid w:val="003A536C"/>
    <w:rsid w:val="003A53B0"/>
    <w:rsid w:val="003A563D"/>
    <w:rsid w:val="003A6EEC"/>
    <w:rsid w:val="003A7429"/>
    <w:rsid w:val="003A7E86"/>
    <w:rsid w:val="003B0A75"/>
    <w:rsid w:val="003B0D2A"/>
    <w:rsid w:val="003B39E6"/>
    <w:rsid w:val="003C02AE"/>
    <w:rsid w:val="003C1154"/>
    <w:rsid w:val="003C3411"/>
    <w:rsid w:val="003C3BD4"/>
    <w:rsid w:val="003C5578"/>
    <w:rsid w:val="003C5FF3"/>
    <w:rsid w:val="003C7BD7"/>
    <w:rsid w:val="003C7D0C"/>
    <w:rsid w:val="003D017C"/>
    <w:rsid w:val="003D0F33"/>
    <w:rsid w:val="003D1188"/>
    <w:rsid w:val="003D3C14"/>
    <w:rsid w:val="003D461F"/>
    <w:rsid w:val="003D49CE"/>
    <w:rsid w:val="003D5760"/>
    <w:rsid w:val="003D61BD"/>
    <w:rsid w:val="003E0624"/>
    <w:rsid w:val="003E1E1E"/>
    <w:rsid w:val="003E2160"/>
    <w:rsid w:val="003E37AB"/>
    <w:rsid w:val="003E3A5F"/>
    <w:rsid w:val="003E6B3A"/>
    <w:rsid w:val="003E6C1A"/>
    <w:rsid w:val="003E76CC"/>
    <w:rsid w:val="003E7EB6"/>
    <w:rsid w:val="003F0096"/>
    <w:rsid w:val="003F1094"/>
    <w:rsid w:val="003F1FF7"/>
    <w:rsid w:val="003F31D1"/>
    <w:rsid w:val="003F496B"/>
    <w:rsid w:val="003F5F07"/>
    <w:rsid w:val="003F6579"/>
    <w:rsid w:val="003F6C50"/>
    <w:rsid w:val="003F79DB"/>
    <w:rsid w:val="0040162F"/>
    <w:rsid w:val="00402202"/>
    <w:rsid w:val="004026F1"/>
    <w:rsid w:val="004033C5"/>
    <w:rsid w:val="00406768"/>
    <w:rsid w:val="00406C7E"/>
    <w:rsid w:val="00407A5B"/>
    <w:rsid w:val="004102C6"/>
    <w:rsid w:val="00411085"/>
    <w:rsid w:val="00411F8E"/>
    <w:rsid w:val="00412010"/>
    <w:rsid w:val="00412BB8"/>
    <w:rsid w:val="00412BBA"/>
    <w:rsid w:val="00413ED4"/>
    <w:rsid w:val="00413EE0"/>
    <w:rsid w:val="0041614F"/>
    <w:rsid w:val="004161BE"/>
    <w:rsid w:val="00422D63"/>
    <w:rsid w:val="00425C56"/>
    <w:rsid w:val="00432776"/>
    <w:rsid w:val="00433842"/>
    <w:rsid w:val="004355CD"/>
    <w:rsid w:val="00435AB9"/>
    <w:rsid w:val="00436249"/>
    <w:rsid w:val="00437868"/>
    <w:rsid w:val="00437A7B"/>
    <w:rsid w:val="00440058"/>
    <w:rsid w:val="00441200"/>
    <w:rsid w:val="004415E0"/>
    <w:rsid w:val="0044232B"/>
    <w:rsid w:val="00442E7D"/>
    <w:rsid w:val="00442EC7"/>
    <w:rsid w:val="00450FF4"/>
    <w:rsid w:val="004510C8"/>
    <w:rsid w:val="0045448A"/>
    <w:rsid w:val="004547C9"/>
    <w:rsid w:val="00454B40"/>
    <w:rsid w:val="00455046"/>
    <w:rsid w:val="00455C0B"/>
    <w:rsid w:val="00456DD7"/>
    <w:rsid w:val="004571AB"/>
    <w:rsid w:val="0046176C"/>
    <w:rsid w:val="00463C74"/>
    <w:rsid w:val="00464BBA"/>
    <w:rsid w:val="00465A0D"/>
    <w:rsid w:val="00466BB2"/>
    <w:rsid w:val="004743C8"/>
    <w:rsid w:val="004748B1"/>
    <w:rsid w:val="00474B48"/>
    <w:rsid w:val="004800BF"/>
    <w:rsid w:val="00480FFE"/>
    <w:rsid w:val="00481214"/>
    <w:rsid w:val="00481B52"/>
    <w:rsid w:val="0048460F"/>
    <w:rsid w:val="00484E8F"/>
    <w:rsid w:val="00485275"/>
    <w:rsid w:val="0048573A"/>
    <w:rsid w:val="00486BFA"/>
    <w:rsid w:val="00487364"/>
    <w:rsid w:val="004909C6"/>
    <w:rsid w:val="00491387"/>
    <w:rsid w:val="00492616"/>
    <w:rsid w:val="00493603"/>
    <w:rsid w:val="00494024"/>
    <w:rsid w:val="00494771"/>
    <w:rsid w:val="0049551C"/>
    <w:rsid w:val="004A02F1"/>
    <w:rsid w:val="004A0479"/>
    <w:rsid w:val="004A0504"/>
    <w:rsid w:val="004A119A"/>
    <w:rsid w:val="004A34EE"/>
    <w:rsid w:val="004A48CC"/>
    <w:rsid w:val="004A5221"/>
    <w:rsid w:val="004A5A29"/>
    <w:rsid w:val="004B0140"/>
    <w:rsid w:val="004B0CC9"/>
    <w:rsid w:val="004B2DBE"/>
    <w:rsid w:val="004B2DE8"/>
    <w:rsid w:val="004B32E1"/>
    <w:rsid w:val="004B4F06"/>
    <w:rsid w:val="004B729D"/>
    <w:rsid w:val="004B7C09"/>
    <w:rsid w:val="004C08D2"/>
    <w:rsid w:val="004C1A8A"/>
    <w:rsid w:val="004C2F2C"/>
    <w:rsid w:val="004C40A8"/>
    <w:rsid w:val="004C5216"/>
    <w:rsid w:val="004C7586"/>
    <w:rsid w:val="004D2760"/>
    <w:rsid w:val="004D3C77"/>
    <w:rsid w:val="004D3FEE"/>
    <w:rsid w:val="004D429E"/>
    <w:rsid w:val="004D4DF1"/>
    <w:rsid w:val="004D4E8C"/>
    <w:rsid w:val="004D551E"/>
    <w:rsid w:val="004D6419"/>
    <w:rsid w:val="004D6D68"/>
    <w:rsid w:val="004E002D"/>
    <w:rsid w:val="004E0FDC"/>
    <w:rsid w:val="004E2238"/>
    <w:rsid w:val="004E2BFC"/>
    <w:rsid w:val="004E2FE5"/>
    <w:rsid w:val="004E4AE8"/>
    <w:rsid w:val="004E500A"/>
    <w:rsid w:val="004E50A0"/>
    <w:rsid w:val="004E5A09"/>
    <w:rsid w:val="004E76F4"/>
    <w:rsid w:val="004E7EB2"/>
    <w:rsid w:val="004F20F7"/>
    <w:rsid w:val="004F2A94"/>
    <w:rsid w:val="004F357A"/>
    <w:rsid w:val="004F3720"/>
    <w:rsid w:val="004F415C"/>
    <w:rsid w:val="004F5AAF"/>
    <w:rsid w:val="004F7FF7"/>
    <w:rsid w:val="00500447"/>
    <w:rsid w:val="00502480"/>
    <w:rsid w:val="00502B3D"/>
    <w:rsid w:val="00503245"/>
    <w:rsid w:val="005038C1"/>
    <w:rsid w:val="005055CF"/>
    <w:rsid w:val="0050566E"/>
    <w:rsid w:val="005059F1"/>
    <w:rsid w:val="00505D24"/>
    <w:rsid w:val="00507D9A"/>
    <w:rsid w:val="00510150"/>
    <w:rsid w:val="00510D71"/>
    <w:rsid w:val="0051121E"/>
    <w:rsid w:val="0051175F"/>
    <w:rsid w:val="00511894"/>
    <w:rsid w:val="005144D6"/>
    <w:rsid w:val="00514F2A"/>
    <w:rsid w:val="0051643E"/>
    <w:rsid w:val="005166D3"/>
    <w:rsid w:val="00516DFF"/>
    <w:rsid w:val="00517278"/>
    <w:rsid w:val="00520A70"/>
    <w:rsid w:val="00522177"/>
    <w:rsid w:val="005221CE"/>
    <w:rsid w:val="00523725"/>
    <w:rsid w:val="00524483"/>
    <w:rsid w:val="005251DA"/>
    <w:rsid w:val="00526006"/>
    <w:rsid w:val="00530968"/>
    <w:rsid w:val="00531A63"/>
    <w:rsid w:val="005379B7"/>
    <w:rsid w:val="00537F5D"/>
    <w:rsid w:val="00540158"/>
    <w:rsid w:val="005404D5"/>
    <w:rsid w:val="00540791"/>
    <w:rsid w:val="005421A1"/>
    <w:rsid w:val="005437E9"/>
    <w:rsid w:val="005444D5"/>
    <w:rsid w:val="00545824"/>
    <w:rsid w:val="00546C3C"/>
    <w:rsid w:val="00547807"/>
    <w:rsid w:val="00547D08"/>
    <w:rsid w:val="005516D7"/>
    <w:rsid w:val="00553867"/>
    <w:rsid w:val="0055521B"/>
    <w:rsid w:val="00555D2A"/>
    <w:rsid w:val="00557426"/>
    <w:rsid w:val="005578CE"/>
    <w:rsid w:val="005616AB"/>
    <w:rsid w:val="005622DE"/>
    <w:rsid w:val="0056264F"/>
    <w:rsid w:val="00565263"/>
    <w:rsid w:val="00566C42"/>
    <w:rsid w:val="00570729"/>
    <w:rsid w:val="00571ED2"/>
    <w:rsid w:val="00573D04"/>
    <w:rsid w:val="005764EC"/>
    <w:rsid w:val="00576CFE"/>
    <w:rsid w:val="0057721E"/>
    <w:rsid w:val="0057789B"/>
    <w:rsid w:val="00583204"/>
    <w:rsid w:val="00583E13"/>
    <w:rsid w:val="005861D4"/>
    <w:rsid w:val="00586E8D"/>
    <w:rsid w:val="00591B02"/>
    <w:rsid w:val="00593010"/>
    <w:rsid w:val="00594405"/>
    <w:rsid w:val="00595022"/>
    <w:rsid w:val="00597841"/>
    <w:rsid w:val="005A051A"/>
    <w:rsid w:val="005A0CCB"/>
    <w:rsid w:val="005A0EEE"/>
    <w:rsid w:val="005A2397"/>
    <w:rsid w:val="005A2526"/>
    <w:rsid w:val="005A35BC"/>
    <w:rsid w:val="005A3CDC"/>
    <w:rsid w:val="005A5F01"/>
    <w:rsid w:val="005A6BCC"/>
    <w:rsid w:val="005A7CC8"/>
    <w:rsid w:val="005B270F"/>
    <w:rsid w:val="005B34EF"/>
    <w:rsid w:val="005B4B35"/>
    <w:rsid w:val="005B6789"/>
    <w:rsid w:val="005C0E11"/>
    <w:rsid w:val="005C4534"/>
    <w:rsid w:val="005D2081"/>
    <w:rsid w:val="005D242F"/>
    <w:rsid w:val="005D3028"/>
    <w:rsid w:val="005D3FB8"/>
    <w:rsid w:val="005D48C2"/>
    <w:rsid w:val="005D49B2"/>
    <w:rsid w:val="005D51F6"/>
    <w:rsid w:val="005D5CEC"/>
    <w:rsid w:val="005D5F0D"/>
    <w:rsid w:val="005E0E0F"/>
    <w:rsid w:val="005E1E15"/>
    <w:rsid w:val="005E281E"/>
    <w:rsid w:val="005E3F89"/>
    <w:rsid w:val="005E4696"/>
    <w:rsid w:val="005E5085"/>
    <w:rsid w:val="005E5161"/>
    <w:rsid w:val="005E5184"/>
    <w:rsid w:val="005E67E3"/>
    <w:rsid w:val="005F1477"/>
    <w:rsid w:val="005F1757"/>
    <w:rsid w:val="005F2C21"/>
    <w:rsid w:val="005F3B5B"/>
    <w:rsid w:val="005F4987"/>
    <w:rsid w:val="005F49CF"/>
    <w:rsid w:val="005F4EAB"/>
    <w:rsid w:val="005F5F1C"/>
    <w:rsid w:val="005F621E"/>
    <w:rsid w:val="00605B68"/>
    <w:rsid w:val="006061E9"/>
    <w:rsid w:val="00612A54"/>
    <w:rsid w:val="00615084"/>
    <w:rsid w:val="00620889"/>
    <w:rsid w:val="00620D10"/>
    <w:rsid w:val="006219AF"/>
    <w:rsid w:val="006223EA"/>
    <w:rsid w:val="006249A1"/>
    <w:rsid w:val="00631013"/>
    <w:rsid w:val="00631168"/>
    <w:rsid w:val="00633620"/>
    <w:rsid w:val="00634783"/>
    <w:rsid w:val="00635ED7"/>
    <w:rsid w:val="0063620D"/>
    <w:rsid w:val="00637E05"/>
    <w:rsid w:val="00637ED5"/>
    <w:rsid w:val="00640A23"/>
    <w:rsid w:val="00640B06"/>
    <w:rsid w:val="00640E5F"/>
    <w:rsid w:val="00642229"/>
    <w:rsid w:val="0064263C"/>
    <w:rsid w:val="006444B9"/>
    <w:rsid w:val="00644AC2"/>
    <w:rsid w:val="00650408"/>
    <w:rsid w:val="0065251F"/>
    <w:rsid w:val="0065261F"/>
    <w:rsid w:val="00652B64"/>
    <w:rsid w:val="0065357A"/>
    <w:rsid w:val="006536E1"/>
    <w:rsid w:val="00653BDA"/>
    <w:rsid w:val="00656DB7"/>
    <w:rsid w:val="006602EA"/>
    <w:rsid w:val="006611E6"/>
    <w:rsid w:val="00663BAF"/>
    <w:rsid w:val="00664196"/>
    <w:rsid w:val="0066695E"/>
    <w:rsid w:val="00667084"/>
    <w:rsid w:val="00667CCE"/>
    <w:rsid w:val="00667D45"/>
    <w:rsid w:val="00670D7A"/>
    <w:rsid w:val="0067271A"/>
    <w:rsid w:val="00673072"/>
    <w:rsid w:val="006745B2"/>
    <w:rsid w:val="006813F1"/>
    <w:rsid w:val="006817DE"/>
    <w:rsid w:val="00681C32"/>
    <w:rsid w:val="00681CF2"/>
    <w:rsid w:val="00681F03"/>
    <w:rsid w:val="006830E8"/>
    <w:rsid w:val="00683A21"/>
    <w:rsid w:val="00684BA8"/>
    <w:rsid w:val="00687351"/>
    <w:rsid w:val="0068797E"/>
    <w:rsid w:val="00691159"/>
    <w:rsid w:val="0069509D"/>
    <w:rsid w:val="00697E17"/>
    <w:rsid w:val="006A04B7"/>
    <w:rsid w:val="006A0F38"/>
    <w:rsid w:val="006A119C"/>
    <w:rsid w:val="006A21D0"/>
    <w:rsid w:val="006A5F3B"/>
    <w:rsid w:val="006A687A"/>
    <w:rsid w:val="006A7752"/>
    <w:rsid w:val="006B19D4"/>
    <w:rsid w:val="006B2FCF"/>
    <w:rsid w:val="006B32CF"/>
    <w:rsid w:val="006B55C7"/>
    <w:rsid w:val="006B6D4F"/>
    <w:rsid w:val="006C0B1A"/>
    <w:rsid w:val="006C1B50"/>
    <w:rsid w:val="006C2139"/>
    <w:rsid w:val="006C2316"/>
    <w:rsid w:val="006C2361"/>
    <w:rsid w:val="006C2DA4"/>
    <w:rsid w:val="006C37A8"/>
    <w:rsid w:val="006C495A"/>
    <w:rsid w:val="006C6412"/>
    <w:rsid w:val="006C698B"/>
    <w:rsid w:val="006C6A34"/>
    <w:rsid w:val="006C7509"/>
    <w:rsid w:val="006C7949"/>
    <w:rsid w:val="006D0375"/>
    <w:rsid w:val="006D05CD"/>
    <w:rsid w:val="006D15F5"/>
    <w:rsid w:val="006D20E1"/>
    <w:rsid w:val="006D2EC0"/>
    <w:rsid w:val="006D5D4D"/>
    <w:rsid w:val="006D5F43"/>
    <w:rsid w:val="006D607D"/>
    <w:rsid w:val="006D766A"/>
    <w:rsid w:val="006D7EAB"/>
    <w:rsid w:val="006E04FF"/>
    <w:rsid w:val="006E0FCB"/>
    <w:rsid w:val="006E290A"/>
    <w:rsid w:val="006E2FBE"/>
    <w:rsid w:val="006F0317"/>
    <w:rsid w:val="006F13E7"/>
    <w:rsid w:val="006F2C32"/>
    <w:rsid w:val="006F343B"/>
    <w:rsid w:val="006F5489"/>
    <w:rsid w:val="007015ED"/>
    <w:rsid w:val="00702093"/>
    <w:rsid w:val="007037F3"/>
    <w:rsid w:val="00703824"/>
    <w:rsid w:val="0070515B"/>
    <w:rsid w:val="00710A60"/>
    <w:rsid w:val="0071497E"/>
    <w:rsid w:val="00714CBC"/>
    <w:rsid w:val="00723287"/>
    <w:rsid w:val="00724816"/>
    <w:rsid w:val="00724D5C"/>
    <w:rsid w:val="00726EB2"/>
    <w:rsid w:val="007278DF"/>
    <w:rsid w:val="007311FB"/>
    <w:rsid w:val="0073129A"/>
    <w:rsid w:val="007334B0"/>
    <w:rsid w:val="00734AD4"/>
    <w:rsid w:val="007364F0"/>
    <w:rsid w:val="00737C97"/>
    <w:rsid w:val="0074038F"/>
    <w:rsid w:val="007405E2"/>
    <w:rsid w:val="00741064"/>
    <w:rsid w:val="00741346"/>
    <w:rsid w:val="007453D3"/>
    <w:rsid w:val="007459CD"/>
    <w:rsid w:val="007506F5"/>
    <w:rsid w:val="00752C07"/>
    <w:rsid w:val="00753131"/>
    <w:rsid w:val="0075350F"/>
    <w:rsid w:val="007535AA"/>
    <w:rsid w:val="0075409C"/>
    <w:rsid w:val="00754877"/>
    <w:rsid w:val="0075497F"/>
    <w:rsid w:val="00754D78"/>
    <w:rsid w:val="00754F9C"/>
    <w:rsid w:val="00755F2A"/>
    <w:rsid w:val="00757689"/>
    <w:rsid w:val="00760EF1"/>
    <w:rsid w:val="007617B6"/>
    <w:rsid w:val="00761C6F"/>
    <w:rsid w:val="00762FCC"/>
    <w:rsid w:val="00763634"/>
    <w:rsid w:val="007639FB"/>
    <w:rsid w:val="00763ED9"/>
    <w:rsid w:val="00763F84"/>
    <w:rsid w:val="00765477"/>
    <w:rsid w:val="00766757"/>
    <w:rsid w:val="00766800"/>
    <w:rsid w:val="00766ACB"/>
    <w:rsid w:val="00766FA2"/>
    <w:rsid w:val="00767A99"/>
    <w:rsid w:val="00767ED5"/>
    <w:rsid w:val="00771A63"/>
    <w:rsid w:val="00776CE9"/>
    <w:rsid w:val="00777F35"/>
    <w:rsid w:val="007809CC"/>
    <w:rsid w:val="00783DED"/>
    <w:rsid w:val="007857E1"/>
    <w:rsid w:val="00787ADE"/>
    <w:rsid w:val="007900A8"/>
    <w:rsid w:val="00790194"/>
    <w:rsid w:val="00790590"/>
    <w:rsid w:val="007920F3"/>
    <w:rsid w:val="00794574"/>
    <w:rsid w:val="007A050A"/>
    <w:rsid w:val="007A07E1"/>
    <w:rsid w:val="007A0B5E"/>
    <w:rsid w:val="007A1320"/>
    <w:rsid w:val="007A1ECA"/>
    <w:rsid w:val="007A298A"/>
    <w:rsid w:val="007A31D1"/>
    <w:rsid w:val="007A4457"/>
    <w:rsid w:val="007A5A1C"/>
    <w:rsid w:val="007A6218"/>
    <w:rsid w:val="007A7A46"/>
    <w:rsid w:val="007B0908"/>
    <w:rsid w:val="007B21C3"/>
    <w:rsid w:val="007B3C86"/>
    <w:rsid w:val="007B4BB5"/>
    <w:rsid w:val="007B5914"/>
    <w:rsid w:val="007B6400"/>
    <w:rsid w:val="007B770B"/>
    <w:rsid w:val="007B7A0E"/>
    <w:rsid w:val="007C0A8F"/>
    <w:rsid w:val="007C2D69"/>
    <w:rsid w:val="007C4481"/>
    <w:rsid w:val="007C4764"/>
    <w:rsid w:val="007C5A99"/>
    <w:rsid w:val="007C5B49"/>
    <w:rsid w:val="007D1090"/>
    <w:rsid w:val="007D14F6"/>
    <w:rsid w:val="007D1944"/>
    <w:rsid w:val="007D1A60"/>
    <w:rsid w:val="007D2292"/>
    <w:rsid w:val="007D2508"/>
    <w:rsid w:val="007D2AA2"/>
    <w:rsid w:val="007D351D"/>
    <w:rsid w:val="007D4397"/>
    <w:rsid w:val="007E0035"/>
    <w:rsid w:val="007E01B7"/>
    <w:rsid w:val="007E03F2"/>
    <w:rsid w:val="007E2AA1"/>
    <w:rsid w:val="007E3929"/>
    <w:rsid w:val="007E5F97"/>
    <w:rsid w:val="007F1308"/>
    <w:rsid w:val="007F2F9E"/>
    <w:rsid w:val="007F36BA"/>
    <w:rsid w:val="007F3C7B"/>
    <w:rsid w:val="007F47C1"/>
    <w:rsid w:val="007F6EB9"/>
    <w:rsid w:val="00800FEB"/>
    <w:rsid w:val="00801180"/>
    <w:rsid w:val="008017AF"/>
    <w:rsid w:val="008029F7"/>
    <w:rsid w:val="00803370"/>
    <w:rsid w:val="00803398"/>
    <w:rsid w:val="00804043"/>
    <w:rsid w:val="00805611"/>
    <w:rsid w:val="0080742C"/>
    <w:rsid w:val="008076C5"/>
    <w:rsid w:val="00810186"/>
    <w:rsid w:val="00810807"/>
    <w:rsid w:val="00812BC5"/>
    <w:rsid w:val="0081389F"/>
    <w:rsid w:val="00814527"/>
    <w:rsid w:val="00815CCE"/>
    <w:rsid w:val="008161B9"/>
    <w:rsid w:val="00816475"/>
    <w:rsid w:val="00820413"/>
    <w:rsid w:val="00821031"/>
    <w:rsid w:val="0082262D"/>
    <w:rsid w:val="00822860"/>
    <w:rsid w:val="00822ABC"/>
    <w:rsid w:val="00826EBD"/>
    <w:rsid w:val="0083058F"/>
    <w:rsid w:val="00830CE0"/>
    <w:rsid w:val="00830E8E"/>
    <w:rsid w:val="00832DB8"/>
    <w:rsid w:val="00833BD7"/>
    <w:rsid w:val="00833CC9"/>
    <w:rsid w:val="00833DB6"/>
    <w:rsid w:val="0083428B"/>
    <w:rsid w:val="00834626"/>
    <w:rsid w:val="00834805"/>
    <w:rsid w:val="00834958"/>
    <w:rsid w:val="008352B6"/>
    <w:rsid w:val="00840B48"/>
    <w:rsid w:val="00840F0A"/>
    <w:rsid w:val="00842ED3"/>
    <w:rsid w:val="00844E83"/>
    <w:rsid w:val="00847837"/>
    <w:rsid w:val="00847CA1"/>
    <w:rsid w:val="00851DDC"/>
    <w:rsid w:val="00854FE0"/>
    <w:rsid w:val="008550DE"/>
    <w:rsid w:val="00855ED9"/>
    <w:rsid w:val="00856338"/>
    <w:rsid w:val="008615A1"/>
    <w:rsid w:val="00861646"/>
    <w:rsid w:val="0086481F"/>
    <w:rsid w:val="00867A61"/>
    <w:rsid w:val="008717D7"/>
    <w:rsid w:val="00872CAB"/>
    <w:rsid w:val="00873478"/>
    <w:rsid w:val="00875F1C"/>
    <w:rsid w:val="008766F2"/>
    <w:rsid w:val="00876F17"/>
    <w:rsid w:val="00877607"/>
    <w:rsid w:val="00880B49"/>
    <w:rsid w:val="00883548"/>
    <w:rsid w:val="00885C46"/>
    <w:rsid w:val="008862F7"/>
    <w:rsid w:val="008865E5"/>
    <w:rsid w:val="00886659"/>
    <w:rsid w:val="00886746"/>
    <w:rsid w:val="00887567"/>
    <w:rsid w:val="00887A03"/>
    <w:rsid w:val="008911FC"/>
    <w:rsid w:val="00891C1F"/>
    <w:rsid w:val="008922E9"/>
    <w:rsid w:val="00893D02"/>
    <w:rsid w:val="008941FA"/>
    <w:rsid w:val="00894719"/>
    <w:rsid w:val="00896504"/>
    <w:rsid w:val="008A017B"/>
    <w:rsid w:val="008A03C1"/>
    <w:rsid w:val="008A1394"/>
    <w:rsid w:val="008A59DD"/>
    <w:rsid w:val="008A69B6"/>
    <w:rsid w:val="008A6F51"/>
    <w:rsid w:val="008A6FDE"/>
    <w:rsid w:val="008A70AC"/>
    <w:rsid w:val="008B2B8E"/>
    <w:rsid w:val="008B4E5C"/>
    <w:rsid w:val="008B5D85"/>
    <w:rsid w:val="008B5F29"/>
    <w:rsid w:val="008B72F4"/>
    <w:rsid w:val="008C1BD0"/>
    <w:rsid w:val="008C482D"/>
    <w:rsid w:val="008C5080"/>
    <w:rsid w:val="008C76ED"/>
    <w:rsid w:val="008C7F52"/>
    <w:rsid w:val="008D0A34"/>
    <w:rsid w:val="008D1776"/>
    <w:rsid w:val="008D3A62"/>
    <w:rsid w:val="008D55F3"/>
    <w:rsid w:val="008D5FA7"/>
    <w:rsid w:val="008D63EF"/>
    <w:rsid w:val="008D6A06"/>
    <w:rsid w:val="008D6B53"/>
    <w:rsid w:val="008E0B63"/>
    <w:rsid w:val="008E0D94"/>
    <w:rsid w:val="008E1311"/>
    <w:rsid w:val="008E1714"/>
    <w:rsid w:val="008E2884"/>
    <w:rsid w:val="008E2B26"/>
    <w:rsid w:val="008E2F81"/>
    <w:rsid w:val="008E362F"/>
    <w:rsid w:val="008E41D8"/>
    <w:rsid w:val="008E61EC"/>
    <w:rsid w:val="008E6303"/>
    <w:rsid w:val="008E6FFF"/>
    <w:rsid w:val="008E7D1C"/>
    <w:rsid w:val="008F09D8"/>
    <w:rsid w:val="008F17C5"/>
    <w:rsid w:val="008F243F"/>
    <w:rsid w:val="008F25B8"/>
    <w:rsid w:val="008F4238"/>
    <w:rsid w:val="008F5E90"/>
    <w:rsid w:val="008F7500"/>
    <w:rsid w:val="00901B4F"/>
    <w:rsid w:val="00903704"/>
    <w:rsid w:val="009037C9"/>
    <w:rsid w:val="00904F91"/>
    <w:rsid w:val="00905315"/>
    <w:rsid w:val="00911A32"/>
    <w:rsid w:val="00912D84"/>
    <w:rsid w:val="00913ABB"/>
    <w:rsid w:val="00915550"/>
    <w:rsid w:val="00915D5F"/>
    <w:rsid w:val="00916090"/>
    <w:rsid w:val="00917343"/>
    <w:rsid w:val="009179FB"/>
    <w:rsid w:val="00917C94"/>
    <w:rsid w:val="009203A7"/>
    <w:rsid w:val="00920E95"/>
    <w:rsid w:val="009219DC"/>
    <w:rsid w:val="00921EBA"/>
    <w:rsid w:val="009222EF"/>
    <w:rsid w:val="009226D3"/>
    <w:rsid w:val="0092275A"/>
    <w:rsid w:val="0092330A"/>
    <w:rsid w:val="009239F9"/>
    <w:rsid w:val="00923C84"/>
    <w:rsid w:val="009240BC"/>
    <w:rsid w:val="0092560E"/>
    <w:rsid w:val="009270B3"/>
    <w:rsid w:val="00927A88"/>
    <w:rsid w:val="00927F08"/>
    <w:rsid w:val="00931048"/>
    <w:rsid w:val="00931863"/>
    <w:rsid w:val="00932991"/>
    <w:rsid w:val="00935D5D"/>
    <w:rsid w:val="00937C5A"/>
    <w:rsid w:val="00940C5A"/>
    <w:rsid w:val="0094121A"/>
    <w:rsid w:val="009412F0"/>
    <w:rsid w:val="0094331E"/>
    <w:rsid w:val="00943912"/>
    <w:rsid w:val="00945C7F"/>
    <w:rsid w:val="009460DF"/>
    <w:rsid w:val="009479DC"/>
    <w:rsid w:val="00951203"/>
    <w:rsid w:val="00951463"/>
    <w:rsid w:val="009535D1"/>
    <w:rsid w:val="009539B3"/>
    <w:rsid w:val="00953EEB"/>
    <w:rsid w:val="00955484"/>
    <w:rsid w:val="00956BD8"/>
    <w:rsid w:val="00957030"/>
    <w:rsid w:val="0095757C"/>
    <w:rsid w:val="00957997"/>
    <w:rsid w:val="00960F57"/>
    <w:rsid w:val="00960F8C"/>
    <w:rsid w:val="009620F7"/>
    <w:rsid w:val="00962F8B"/>
    <w:rsid w:val="0096345A"/>
    <w:rsid w:val="0096459C"/>
    <w:rsid w:val="009705BD"/>
    <w:rsid w:val="00970952"/>
    <w:rsid w:val="0097349C"/>
    <w:rsid w:val="00973C1F"/>
    <w:rsid w:val="009740E8"/>
    <w:rsid w:val="00977C18"/>
    <w:rsid w:val="009814A1"/>
    <w:rsid w:val="00981668"/>
    <w:rsid w:val="00983050"/>
    <w:rsid w:val="00986732"/>
    <w:rsid w:val="00986989"/>
    <w:rsid w:val="00990608"/>
    <w:rsid w:val="00990A99"/>
    <w:rsid w:val="009922E3"/>
    <w:rsid w:val="009929F4"/>
    <w:rsid w:val="00992C4A"/>
    <w:rsid w:val="0099577D"/>
    <w:rsid w:val="00995B87"/>
    <w:rsid w:val="00996A57"/>
    <w:rsid w:val="00997D85"/>
    <w:rsid w:val="00997E5B"/>
    <w:rsid w:val="009A0C47"/>
    <w:rsid w:val="009A6010"/>
    <w:rsid w:val="009A71ED"/>
    <w:rsid w:val="009B3A65"/>
    <w:rsid w:val="009B5128"/>
    <w:rsid w:val="009B5592"/>
    <w:rsid w:val="009B6900"/>
    <w:rsid w:val="009B7623"/>
    <w:rsid w:val="009B78B2"/>
    <w:rsid w:val="009B791B"/>
    <w:rsid w:val="009C0919"/>
    <w:rsid w:val="009C1565"/>
    <w:rsid w:val="009C30B2"/>
    <w:rsid w:val="009C31B5"/>
    <w:rsid w:val="009C3F47"/>
    <w:rsid w:val="009C41C3"/>
    <w:rsid w:val="009C5999"/>
    <w:rsid w:val="009C7D44"/>
    <w:rsid w:val="009C7F10"/>
    <w:rsid w:val="009D04EC"/>
    <w:rsid w:val="009D1B3A"/>
    <w:rsid w:val="009D1E2A"/>
    <w:rsid w:val="009D2723"/>
    <w:rsid w:val="009D386B"/>
    <w:rsid w:val="009D3DAA"/>
    <w:rsid w:val="009D3E99"/>
    <w:rsid w:val="009E31D7"/>
    <w:rsid w:val="009E3B5D"/>
    <w:rsid w:val="009E4129"/>
    <w:rsid w:val="009E44CA"/>
    <w:rsid w:val="009E58F8"/>
    <w:rsid w:val="009E59B4"/>
    <w:rsid w:val="009E5A85"/>
    <w:rsid w:val="009E734D"/>
    <w:rsid w:val="009F0B33"/>
    <w:rsid w:val="009F1703"/>
    <w:rsid w:val="009F1DC1"/>
    <w:rsid w:val="009F23E4"/>
    <w:rsid w:val="009F42BD"/>
    <w:rsid w:val="009F54C1"/>
    <w:rsid w:val="009F5D7D"/>
    <w:rsid w:val="009F5EEE"/>
    <w:rsid w:val="009F6418"/>
    <w:rsid w:val="009F73B2"/>
    <w:rsid w:val="009F74A8"/>
    <w:rsid w:val="00A00B62"/>
    <w:rsid w:val="00A019C4"/>
    <w:rsid w:val="00A04623"/>
    <w:rsid w:val="00A04D04"/>
    <w:rsid w:val="00A0733B"/>
    <w:rsid w:val="00A07C14"/>
    <w:rsid w:val="00A1009F"/>
    <w:rsid w:val="00A11385"/>
    <w:rsid w:val="00A11BC8"/>
    <w:rsid w:val="00A126F2"/>
    <w:rsid w:val="00A14187"/>
    <w:rsid w:val="00A14634"/>
    <w:rsid w:val="00A14A8B"/>
    <w:rsid w:val="00A1760E"/>
    <w:rsid w:val="00A178DD"/>
    <w:rsid w:val="00A217A8"/>
    <w:rsid w:val="00A236B2"/>
    <w:rsid w:val="00A23F3A"/>
    <w:rsid w:val="00A2474F"/>
    <w:rsid w:val="00A26167"/>
    <w:rsid w:val="00A308A0"/>
    <w:rsid w:val="00A31184"/>
    <w:rsid w:val="00A35A41"/>
    <w:rsid w:val="00A35D77"/>
    <w:rsid w:val="00A363A6"/>
    <w:rsid w:val="00A370AB"/>
    <w:rsid w:val="00A37755"/>
    <w:rsid w:val="00A378B5"/>
    <w:rsid w:val="00A4031D"/>
    <w:rsid w:val="00A4241F"/>
    <w:rsid w:val="00A445C7"/>
    <w:rsid w:val="00A468F8"/>
    <w:rsid w:val="00A47F6C"/>
    <w:rsid w:val="00A50A36"/>
    <w:rsid w:val="00A52A31"/>
    <w:rsid w:val="00A52ED4"/>
    <w:rsid w:val="00A53814"/>
    <w:rsid w:val="00A53C0A"/>
    <w:rsid w:val="00A553E1"/>
    <w:rsid w:val="00A55F1C"/>
    <w:rsid w:val="00A56764"/>
    <w:rsid w:val="00A60414"/>
    <w:rsid w:val="00A61CE9"/>
    <w:rsid w:val="00A65CDD"/>
    <w:rsid w:val="00A66993"/>
    <w:rsid w:val="00A67174"/>
    <w:rsid w:val="00A676F9"/>
    <w:rsid w:val="00A67F36"/>
    <w:rsid w:val="00A71441"/>
    <w:rsid w:val="00A71569"/>
    <w:rsid w:val="00A7328C"/>
    <w:rsid w:val="00A73467"/>
    <w:rsid w:val="00A73F5F"/>
    <w:rsid w:val="00A750FD"/>
    <w:rsid w:val="00A7632D"/>
    <w:rsid w:val="00A772CD"/>
    <w:rsid w:val="00A77697"/>
    <w:rsid w:val="00A802C4"/>
    <w:rsid w:val="00A811E7"/>
    <w:rsid w:val="00A81B10"/>
    <w:rsid w:val="00A827CF"/>
    <w:rsid w:val="00A828AA"/>
    <w:rsid w:val="00A833EB"/>
    <w:rsid w:val="00A83667"/>
    <w:rsid w:val="00A83734"/>
    <w:rsid w:val="00A83CAB"/>
    <w:rsid w:val="00A84140"/>
    <w:rsid w:val="00A84C7C"/>
    <w:rsid w:val="00A84EE0"/>
    <w:rsid w:val="00A85263"/>
    <w:rsid w:val="00A85379"/>
    <w:rsid w:val="00A90EBD"/>
    <w:rsid w:val="00A90EFD"/>
    <w:rsid w:val="00A9226F"/>
    <w:rsid w:val="00A92887"/>
    <w:rsid w:val="00A92C7C"/>
    <w:rsid w:val="00A92CB7"/>
    <w:rsid w:val="00A9401D"/>
    <w:rsid w:val="00A94751"/>
    <w:rsid w:val="00A9514F"/>
    <w:rsid w:val="00A95866"/>
    <w:rsid w:val="00A95E05"/>
    <w:rsid w:val="00A974AB"/>
    <w:rsid w:val="00AA06BF"/>
    <w:rsid w:val="00AA0EBB"/>
    <w:rsid w:val="00AA18CA"/>
    <w:rsid w:val="00AA4CEA"/>
    <w:rsid w:val="00AA5A87"/>
    <w:rsid w:val="00AA6384"/>
    <w:rsid w:val="00AA74F5"/>
    <w:rsid w:val="00AA7B2A"/>
    <w:rsid w:val="00AB1580"/>
    <w:rsid w:val="00AB3D5A"/>
    <w:rsid w:val="00AB4BFD"/>
    <w:rsid w:val="00AB5A42"/>
    <w:rsid w:val="00AB6962"/>
    <w:rsid w:val="00AB785A"/>
    <w:rsid w:val="00AC01AB"/>
    <w:rsid w:val="00AC0F43"/>
    <w:rsid w:val="00AC213C"/>
    <w:rsid w:val="00AC437F"/>
    <w:rsid w:val="00AC4BA8"/>
    <w:rsid w:val="00AC63A2"/>
    <w:rsid w:val="00AC63B0"/>
    <w:rsid w:val="00AC64C2"/>
    <w:rsid w:val="00AC6C29"/>
    <w:rsid w:val="00AC7C86"/>
    <w:rsid w:val="00AC7FD6"/>
    <w:rsid w:val="00AD01BA"/>
    <w:rsid w:val="00AD16A1"/>
    <w:rsid w:val="00AD1C32"/>
    <w:rsid w:val="00AD28C6"/>
    <w:rsid w:val="00AD656D"/>
    <w:rsid w:val="00AE14A8"/>
    <w:rsid w:val="00AE2515"/>
    <w:rsid w:val="00AE30A7"/>
    <w:rsid w:val="00AE4192"/>
    <w:rsid w:val="00AE6AEC"/>
    <w:rsid w:val="00AE6C05"/>
    <w:rsid w:val="00AE6DD5"/>
    <w:rsid w:val="00AF3D39"/>
    <w:rsid w:val="00AF55F1"/>
    <w:rsid w:val="00AF5626"/>
    <w:rsid w:val="00AF6D23"/>
    <w:rsid w:val="00B02316"/>
    <w:rsid w:val="00B046E5"/>
    <w:rsid w:val="00B06AD5"/>
    <w:rsid w:val="00B10091"/>
    <w:rsid w:val="00B1654E"/>
    <w:rsid w:val="00B173EE"/>
    <w:rsid w:val="00B175C1"/>
    <w:rsid w:val="00B2063D"/>
    <w:rsid w:val="00B2099E"/>
    <w:rsid w:val="00B20DE2"/>
    <w:rsid w:val="00B215CD"/>
    <w:rsid w:val="00B21FA1"/>
    <w:rsid w:val="00B22CB1"/>
    <w:rsid w:val="00B24858"/>
    <w:rsid w:val="00B25115"/>
    <w:rsid w:val="00B2512B"/>
    <w:rsid w:val="00B25CED"/>
    <w:rsid w:val="00B2659C"/>
    <w:rsid w:val="00B274BE"/>
    <w:rsid w:val="00B308A4"/>
    <w:rsid w:val="00B308C2"/>
    <w:rsid w:val="00B319AD"/>
    <w:rsid w:val="00B3208C"/>
    <w:rsid w:val="00B33A6D"/>
    <w:rsid w:val="00B34C77"/>
    <w:rsid w:val="00B35577"/>
    <w:rsid w:val="00B37035"/>
    <w:rsid w:val="00B454BD"/>
    <w:rsid w:val="00B522E4"/>
    <w:rsid w:val="00B54B17"/>
    <w:rsid w:val="00B5732D"/>
    <w:rsid w:val="00B577D4"/>
    <w:rsid w:val="00B57F55"/>
    <w:rsid w:val="00B603FC"/>
    <w:rsid w:val="00B62489"/>
    <w:rsid w:val="00B62B17"/>
    <w:rsid w:val="00B640A9"/>
    <w:rsid w:val="00B66A7F"/>
    <w:rsid w:val="00B66AAD"/>
    <w:rsid w:val="00B66C02"/>
    <w:rsid w:val="00B708B7"/>
    <w:rsid w:val="00B71D8B"/>
    <w:rsid w:val="00B72DD1"/>
    <w:rsid w:val="00B752C2"/>
    <w:rsid w:val="00B76568"/>
    <w:rsid w:val="00B77A65"/>
    <w:rsid w:val="00B803DF"/>
    <w:rsid w:val="00B80491"/>
    <w:rsid w:val="00B81C9A"/>
    <w:rsid w:val="00B821C4"/>
    <w:rsid w:val="00B841A8"/>
    <w:rsid w:val="00B86540"/>
    <w:rsid w:val="00B87DD3"/>
    <w:rsid w:val="00B90D11"/>
    <w:rsid w:val="00B914DF"/>
    <w:rsid w:val="00B91FDF"/>
    <w:rsid w:val="00B92385"/>
    <w:rsid w:val="00B9314E"/>
    <w:rsid w:val="00B9385E"/>
    <w:rsid w:val="00B95A83"/>
    <w:rsid w:val="00B974EF"/>
    <w:rsid w:val="00B97C00"/>
    <w:rsid w:val="00BA1325"/>
    <w:rsid w:val="00BA1E5E"/>
    <w:rsid w:val="00BA390A"/>
    <w:rsid w:val="00BA3BDD"/>
    <w:rsid w:val="00BA3E00"/>
    <w:rsid w:val="00BB1B79"/>
    <w:rsid w:val="00BB270A"/>
    <w:rsid w:val="00BB294B"/>
    <w:rsid w:val="00BB2ACA"/>
    <w:rsid w:val="00BB42CA"/>
    <w:rsid w:val="00BB4432"/>
    <w:rsid w:val="00BB5879"/>
    <w:rsid w:val="00BB5DC9"/>
    <w:rsid w:val="00BB6F26"/>
    <w:rsid w:val="00BC0FFD"/>
    <w:rsid w:val="00BC1A6C"/>
    <w:rsid w:val="00BC1FFB"/>
    <w:rsid w:val="00BC2085"/>
    <w:rsid w:val="00BC2235"/>
    <w:rsid w:val="00BC2CF6"/>
    <w:rsid w:val="00BC3F18"/>
    <w:rsid w:val="00BC50EB"/>
    <w:rsid w:val="00BC5BE8"/>
    <w:rsid w:val="00BC764F"/>
    <w:rsid w:val="00BC7A18"/>
    <w:rsid w:val="00BD0C03"/>
    <w:rsid w:val="00BD1591"/>
    <w:rsid w:val="00BD2DC6"/>
    <w:rsid w:val="00BD3A77"/>
    <w:rsid w:val="00BD726A"/>
    <w:rsid w:val="00BE388F"/>
    <w:rsid w:val="00BE399A"/>
    <w:rsid w:val="00BE639D"/>
    <w:rsid w:val="00BE7AA4"/>
    <w:rsid w:val="00BF0186"/>
    <w:rsid w:val="00BF0D2E"/>
    <w:rsid w:val="00BF1712"/>
    <w:rsid w:val="00BF2262"/>
    <w:rsid w:val="00BF252A"/>
    <w:rsid w:val="00BF3B30"/>
    <w:rsid w:val="00BF50DC"/>
    <w:rsid w:val="00BF5EDD"/>
    <w:rsid w:val="00BF70C9"/>
    <w:rsid w:val="00BF794E"/>
    <w:rsid w:val="00C00AF4"/>
    <w:rsid w:val="00C02665"/>
    <w:rsid w:val="00C04749"/>
    <w:rsid w:val="00C047DA"/>
    <w:rsid w:val="00C04ABC"/>
    <w:rsid w:val="00C06A8B"/>
    <w:rsid w:val="00C06AB3"/>
    <w:rsid w:val="00C1050D"/>
    <w:rsid w:val="00C10800"/>
    <w:rsid w:val="00C115D9"/>
    <w:rsid w:val="00C12582"/>
    <w:rsid w:val="00C12DFD"/>
    <w:rsid w:val="00C14081"/>
    <w:rsid w:val="00C1534A"/>
    <w:rsid w:val="00C16A72"/>
    <w:rsid w:val="00C213D2"/>
    <w:rsid w:val="00C21E64"/>
    <w:rsid w:val="00C26BBF"/>
    <w:rsid w:val="00C308DC"/>
    <w:rsid w:val="00C3152C"/>
    <w:rsid w:val="00C32117"/>
    <w:rsid w:val="00C32208"/>
    <w:rsid w:val="00C35219"/>
    <w:rsid w:val="00C37E14"/>
    <w:rsid w:val="00C4135A"/>
    <w:rsid w:val="00C424A9"/>
    <w:rsid w:val="00C42BB1"/>
    <w:rsid w:val="00C42DD0"/>
    <w:rsid w:val="00C43290"/>
    <w:rsid w:val="00C435AA"/>
    <w:rsid w:val="00C45F96"/>
    <w:rsid w:val="00C50E8F"/>
    <w:rsid w:val="00C50FD9"/>
    <w:rsid w:val="00C51AE1"/>
    <w:rsid w:val="00C5372B"/>
    <w:rsid w:val="00C57032"/>
    <w:rsid w:val="00C57550"/>
    <w:rsid w:val="00C575A1"/>
    <w:rsid w:val="00C57C45"/>
    <w:rsid w:val="00C57DC9"/>
    <w:rsid w:val="00C57DCD"/>
    <w:rsid w:val="00C60161"/>
    <w:rsid w:val="00C614B7"/>
    <w:rsid w:val="00C618B9"/>
    <w:rsid w:val="00C62D7E"/>
    <w:rsid w:val="00C63E27"/>
    <w:rsid w:val="00C647AE"/>
    <w:rsid w:val="00C660CF"/>
    <w:rsid w:val="00C6764C"/>
    <w:rsid w:val="00C7210A"/>
    <w:rsid w:val="00C74E0A"/>
    <w:rsid w:val="00C75BE1"/>
    <w:rsid w:val="00C76A9B"/>
    <w:rsid w:val="00C76ED4"/>
    <w:rsid w:val="00C77A4B"/>
    <w:rsid w:val="00C80436"/>
    <w:rsid w:val="00C80D61"/>
    <w:rsid w:val="00C82E11"/>
    <w:rsid w:val="00C835DD"/>
    <w:rsid w:val="00C863E7"/>
    <w:rsid w:val="00C869BA"/>
    <w:rsid w:val="00C90809"/>
    <w:rsid w:val="00C90DDB"/>
    <w:rsid w:val="00C90E8E"/>
    <w:rsid w:val="00C92963"/>
    <w:rsid w:val="00C92B32"/>
    <w:rsid w:val="00C9393B"/>
    <w:rsid w:val="00C95A88"/>
    <w:rsid w:val="00CA45E5"/>
    <w:rsid w:val="00CA5C8E"/>
    <w:rsid w:val="00CA5EE2"/>
    <w:rsid w:val="00CA61D9"/>
    <w:rsid w:val="00CA6734"/>
    <w:rsid w:val="00CA7C33"/>
    <w:rsid w:val="00CA7CCB"/>
    <w:rsid w:val="00CA7F43"/>
    <w:rsid w:val="00CB0EB5"/>
    <w:rsid w:val="00CB160E"/>
    <w:rsid w:val="00CB18D3"/>
    <w:rsid w:val="00CB2AA0"/>
    <w:rsid w:val="00CB4656"/>
    <w:rsid w:val="00CB5000"/>
    <w:rsid w:val="00CB51F8"/>
    <w:rsid w:val="00CB56ED"/>
    <w:rsid w:val="00CB6122"/>
    <w:rsid w:val="00CB77D8"/>
    <w:rsid w:val="00CB7AFD"/>
    <w:rsid w:val="00CC6972"/>
    <w:rsid w:val="00CD0496"/>
    <w:rsid w:val="00CD05C3"/>
    <w:rsid w:val="00CD235B"/>
    <w:rsid w:val="00CD2847"/>
    <w:rsid w:val="00CD5392"/>
    <w:rsid w:val="00CD7CE6"/>
    <w:rsid w:val="00CE0DCB"/>
    <w:rsid w:val="00CE3963"/>
    <w:rsid w:val="00CE3CFA"/>
    <w:rsid w:val="00CE4B07"/>
    <w:rsid w:val="00CE6A8D"/>
    <w:rsid w:val="00CE767F"/>
    <w:rsid w:val="00CF0839"/>
    <w:rsid w:val="00CF3893"/>
    <w:rsid w:val="00CF45D6"/>
    <w:rsid w:val="00CF462A"/>
    <w:rsid w:val="00CF4882"/>
    <w:rsid w:val="00CF5DAC"/>
    <w:rsid w:val="00D00765"/>
    <w:rsid w:val="00D00964"/>
    <w:rsid w:val="00D01338"/>
    <w:rsid w:val="00D02C5D"/>
    <w:rsid w:val="00D039F5"/>
    <w:rsid w:val="00D044D3"/>
    <w:rsid w:val="00D05394"/>
    <w:rsid w:val="00D103F1"/>
    <w:rsid w:val="00D10683"/>
    <w:rsid w:val="00D114F5"/>
    <w:rsid w:val="00D148C9"/>
    <w:rsid w:val="00D1719D"/>
    <w:rsid w:val="00D176B3"/>
    <w:rsid w:val="00D17E6D"/>
    <w:rsid w:val="00D20255"/>
    <w:rsid w:val="00D20F88"/>
    <w:rsid w:val="00D21928"/>
    <w:rsid w:val="00D23D99"/>
    <w:rsid w:val="00D23ED7"/>
    <w:rsid w:val="00D257EE"/>
    <w:rsid w:val="00D25E57"/>
    <w:rsid w:val="00D2614D"/>
    <w:rsid w:val="00D2760E"/>
    <w:rsid w:val="00D27A25"/>
    <w:rsid w:val="00D3090B"/>
    <w:rsid w:val="00D3144A"/>
    <w:rsid w:val="00D31C1A"/>
    <w:rsid w:val="00D3232D"/>
    <w:rsid w:val="00D341AD"/>
    <w:rsid w:val="00D34556"/>
    <w:rsid w:val="00D35898"/>
    <w:rsid w:val="00D360F3"/>
    <w:rsid w:val="00D4066D"/>
    <w:rsid w:val="00D40C58"/>
    <w:rsid w:val="00D47C34"/>
    <w:rsid w:val="00D50688"/>
    <w:rsid w:val="00D51142"/>
    <w:rsid w:val="00D515E6"/>
    <w:rsid w:val="00D5176A"/>
    <w:rsid w:val="00D51C73"/>
    <w:rsid w:val="00D53E9A"/>
    <w:rsid w:val="00D541BC"/>
    <w:rsid w:val="00D55FC4"/>
    <w:rsid w:val="00D60189"/>
    <w:rsid w:val="00D60779"/>
    <w:rsid w:val="00D6093B"/>
    <w:rsid w:val="00D60ED1"/>
    <w:rsid w:val="00D60F12"/>
    <w:rsid w:val="00D61783"/>
    <w:rsid w:val="00D61A11"/>
    <w:rsid w:val="00D61D81"/>
    <w:rsid w:val="00D6330C"/>
    <w:rsid w:val="00D6403D"/>
    <w:rsid w:val="00D64A1F"/>
    <w:rsid w:val="00D6565C"/>
    <w:rsid w:val="00D67587"/>
    <w:rsid w:val="00D71B1D"/>
    <w:rsid w:val="00D720EE"/>
    <w:rsid w:val="00D73C2C"/>
    <w:rsid w:val="00D73D74"/>
    <w:rsid w:val="00D73F34"/>
    <w:rsid w:val="00D7496F"/>
    <w:rsid w:val="00D76858"/>
    <w:rsid w:val="00D76918"/>
    <w:rsid w:val="00D815DF"/>
    <w:rsid w:val="00D8241A"/>
    <w:rsid w:val="00D82BCD"/>
    <w:rsid w:val="00D8397A"/>
    <w:rsid w:val="00D8455D"/>
    <w:rsid w:val="00D85D25"/>
    <w:rsid w:val="00D875F0"/>
    <w:rsid w:val="00D87FC8"/>
    <w:rsid w:val="00D92B94"/>
    <w:rsid w:val="00D94FCA"/>
    <w:rsid w:val="00D95B42"/>
    <w:rsid w:val="00D97EA9"/>
    <w:rsid w:val="00DA000A"/>
    <w:rsid w:val="00DA0A0D"/>
    <w:rsid w:val="00DA0ED2"/>
    <w:rsid w:val="00DA1C8F"/>
    <w:rsid w:val="00DA2A21"/>
    <w:rsid w:val="00DA5883"/>
    <w:rsid w:val="00DA5905"/>
    <w:rsid w:val="00DA66DB"/>
    <w:rsid w:val="00DA685C"/>
    <w:rsid w:val="00DA75F4"/>
    <w:rsid w:val="00DB0172"/>
    <w:rsid w:val="00DB16F9"/>
    <w:rsid w:val="00DB1ACF"/>
    <w:rsid w:val="00DB2E95"/>
    <w:rsid w:val="00DB2FB1"/>
    <w:rsid w:val="00DB3046"/>
    <w:rsid w:val="00DB44E9"/>
    <w:rsid w:val="00DB5A59"/>
    <w:rsid w:val="00DB62CB"/>
    <w:rsid w:val="00DB6305"/>
    <w:rsid w:val="00DB7661"/>
    <w:rsid w:val="00DB7D0F"/>
    <w:rsid w:val="00DB7EB3"/>
    <w:rsid w:val="00DC0E52"/>
    <w:rsid w:val="00DC2449"/>
    <w:rsid w:val="00DC44AA"/>
    <w:rsid w:val="00DC5428"/>
    <w:rsid w:val="00DC6069"/>
    <w:rsid w:val="00DC75F0"/>
    <w:rsid w:val="00DD0093"/>
    <w:rsid w:val="00DD0D88"/>
    <w:rsid w:val="00DD3ACE"/>
    <w:rsid w:val="00DD6111"/>
    <w:rsid w:val="00DD777A"/>
    <w:rsid w:val="00DD7DE4"/>
    <w:rsid w:val="00DE1231"/>
    <w:rsid w:val="00DE128C"/>
    <w:rsid w:val="00DE1B10"/>
    <w:rsid w:val="00DE39C5"/>
    <w:rsid w:val="00DE4020"/>
    <w:rsid w:val="00DE4611"/>
    <w:rsid w:val="00DE4D3B"/>
    <w:rsid w:val="00DE5067"/>
    <w:rsid w:val="00DE50FA"/>
    <w:rsid w:val="00DE55D2"/>
    <w:rsid w:val="00DE6739"/>
    <w:rsid w:val="00DE7FC3"/>
    <w:rsid w:val="00DF1116"/>
    <w:rsid w:val="00DF1756"/>
    <w:rsid w:val="00DF1C3C"/>
    <w:rsid w:val="00DF3D2F"/>
    <w:rsid w:val="00DF4099"/>
    <w:rsid w:val="00DF4F85"/>
    <w:rsid w:val="00DF5AF4"/>
    <w:rsid w:val="00DF6215"/>
    <w:rsid w:val="00DF691E"/>
    <w:rsid w:val="00DF7076"/>
    <w:rsid w:val="00DF7B39"/>
    <w:rsid w:val="00E0169A"/>
    <w:rsid w:val="00E01D5C"/>
    <w:rsid w:val="00E023FB"/>
    <w:rsid w:val="00E0284C"/>
    <w:rsid w:val="00E035C2"/>
    <w:rsid w:val="00E0423B"/>
    <w:rsid w:val="00E053DD"/>
    <w:rsid w:val="00E057D3"/>
    <w:rsid w:val="00E070F1"/>
    <w:rsid w:val="00E10A86"/>
    <w:rsid w:val="00E10D48"/>
    <w:rsid w:val="00E120EE"/>
    <w:rsid w:val="00E13D2B"/>
    <w:rsid w:val="00E14585"/>
    <w:rsid w:val="00E14812"/>
    <w:rsid w:val="00E154DB"/>
    <w:rsid w:val="00E155F5"/>
    <w:rsid w:val="00E15E13"/>
    <w:rsid w:val="00E15F4E"/>
    <w:rsid w:val="00E168D1"/>
    <w:rsid w:val="00E20474"/>
    <w:rsid w:val="00E20BAB"/>
    <w:rsid w:val="00E20F2E"/>
    <w:rsid w:val="00E213CA"/>
    <w:rsid w:val="00E22FB6"/>
    <w:rsid w:val="00E23A1D"/>
    <w:rsid w:val="00E272DA"/>
    <w:rsid w:val="00E30359"/>
    <w:rsid w:val="00E3049C"/>
    <w:rsid w:val="00E30B19"/>
    <w:rsid w:val="00E3320A"/>
    <w:rsid w:val="00E35829"/>
    <w:rsid w:val="00E36F46"/>
    <w:rsid w:val="00E40BFA"/>
    <w:rsid w:val="00E40D23"/>
    <w:rsid w:val="00E41550"/>
    <w:rsid w:val="00E417AE"/>
    <w:rsid w:val="00E43A18"/>
    <w:rsid w:val="00E4431D"/>
    <w:rsid w:val="00E46A71"/>
    <w:rsid w:val="00E472A6"/>
    <w:rsid w:val="00E477CF"/>
    <w:rsid w:val="00E5097D"/>
    <w:rsid w:val="00E50C43"/>
    <w:rsid w:val="00E53CCF"/>
    <w:rsid w:val="00E54C95"/>
    <w:rsid w:val="00E56142"/>
    <w:rsid w:val="00E56424"/>
    <w:rsid w:val="00E57E08"/>
    <w:rsid w:val="00E60191"/>
    <w:rsid w:val="00E62B88"/>
    <w:rsid w:val="00E70746"/>
    <w:rsid w:val="00E711B9"/>
    <w:rsid w:val="00E721AA"/>
    <w:rsid w:val="00E7224F"/>
    <w:rsid w:val="00E72751"/>
    <w:rsid w:val="00E745BE"/>
    <w:rsid w:val="00E749CF"/>
    <w:rsid w:val="00E75BA9"/>
    <w:rsid w:val="00E809C0"/>
    <w:rsid w:val="00E832FC"/>
    <w:rsid w:val="00E87651"/>
    <w:rsid w:val="00E91529"/>
    <w:rsid w:val="00E920D7"/>
    <w:rsid w:val="00E92F81"/>
    <w:rsid w:val="00E94BB0"/>
    <w:rsid w:val="00EA09AA"/>
    <w:rsid w:val="00EA21E6"/>
    <w:rsid w:val="00EA28DF"/>
    <w:rsid w:val="00EA5573"/>
    <w:rsid w:val="00EA6775"/>
    <w:rsid w:val="00EA7F3F"/>
    <w:rsid w:val="00EB0043"/>
    <w:rsid w:val="00EB0705"/>
    <w:rsid w:val="00EB28A5"/>
    <w:rsid w:val="00EB4200"/>
    <w:rsid w:val="00EB4F51"/>
    <w:rsid w:val="00EB546E"/>
    <w:rsid w:val="00EB6861"/>
    <w:rsid w:val="00EC05E9"/>
    <w:rsid w:val="00EC0829"/>
    <w:rsid w:val="00EC1C04"/>
    <w:rsid w:val="00EC22F4"/>
    <w:rsid w:val="00EC455F"/>
    <w:rsid w:val="00EC5941"/>
    <w:rsid w:val="00EC5E56"/>
    <w:rsid w:val="00EC6AB5"/>
    <w:rsid w:val="00ED0C8E"/>
    <w:rsid w:val="00ED0E29"/>
    <w:rsid w:val="00ED2678"/>
    <w:rsid w:val="00ED276F"/>
    <w:rsid w:val="00ED2A9E"/>
    <w:rsid w:val="00ED3B57"/>
    <w:rsid w:val="00ED5DB2"/>
    <w:rsid w:val="00EE10CB"/>
    <w:rsid w:val="00EE1911"/>
    <w:rsid w:val="00EE2C7F"/>
    <w:rsid w:val="00EE2DDF"/>
    <w:rsid w:val="00EE362E"/>
    <w:rsid w:val="00EE4B59"/>
    <w:rsid w:val="00EE547B"/>
    <w:rsid w:val="00EE58A9"/>
    <w:rsid w:val="00EF076B"/>
    <w:rsid w:val="00EF0C55"/>
    <w:rsid w:val="00EF251E"/>
    <w:rsid w:val="00EF3D7C"/>
    <w:rsid w:val="00EF435D"/>
    <w:rsid w:val="00EF6817"/>
    <w:rsid w:val="00EF7D68"/>
    <w:rsid w:val="00F01B05"/>
    <w:rsid w:val="00F0322A"/>
    <w:rsid w:val="00F033E8"/>
    <w:rsid w:val="00F03636"/>
    <w:rsid w:val="00F04F9D"/>
    <w:rsid w:val="00F06322"/>
    <w:rsid w:val="00F10E82"/>
    <w:rsid w:val="00F1409A"/>
    <w:rsid w:val="00F150BE"/>
    <w:rsid w:val="00F157A8"/>
    <w:rsid w:val="00F15BDF"/>
    <w:rsid w:val="00F16BE1"/>
    <w:rsid w:val="00F16DFA"/>
    <w:rsid w:val="00F204A7"/>
    <w:rsid w:val="00F21043"/>
    <w:rsid w:val="00F24085"/>
    <w:rsid w:val="00F25B68"/>
    <w:rsid w:val="00F3004C"/>
    <w:rsid w:val="00F305D1"/>
    <w:rsid w:val="00F30DF7"/>
    <w:rsid w:val="00F318FF"/>
    <w:rsid w:val="00F3286B"/>
    <w:rsid w:val="00F32AFB"/>
    <w:rsid w:val="00F34358"/>
    <w:rsid w:val="00F3494E"/>
    <w:rsid w:val="00F34AA2"/>
    <w:rsid w:val="00F350F3"/>
    <w:rsid w:val="00F352FB"/>
    <w:rsid w:val="00F35A91"/>
    <w:rsid w:val="00F37820"/>
    <w:rsid w:val="00F438B7"/>
    <w:rsid w:val="00F45760"/>
    <w:rsid w:val="00F45E2C"/>
    <w:rsid w:val="00F4686F"/>
    <w:rsid w:val="00F46F28"/>
    <w:rsid w:val="00F5240F"/>
    <w:rsid w:val="00F530E5"/>
    <w:rsid w:val="00F53504"/>
    <w:rsid w:val="00F578DC"/>
    <w:rsid w:val="00F6198C"/>
    <w:rsid w:val="00F61FF5"/>
    <w:rsid w:val="00F62181"/>
    <w:rsid w:val="00F62329"/>
    <w:rsid w:val="00F62930"/>
    <w:rsid w:val="00F630B6"/>
    <w:rsid w:val="00F63369"/>
    <w:rsid w:val="00F634F7"/>
    <w:rsid w:val="00F636B0"/>
    <w:rsid w:val="00F661BE"/>
    <w:rsid w:val="00F66DB7"/>
    <w:rsid w:val="00F674BD"/>
    <w:rsid w:val="00F7024B"/>
    <w:rsid w:val="00F71271"/>
    <w:rsid w:val="00F71DBD"/>
    <w:rsid w:val="00F7206F"/>
    <w:rsid w:val="00F72489"/>
    <w:rsid w:val="00F738F8"/>
    <w:rsid w:val="00F745C3"/>
    <w:rsid w:val="00F754F5"/>
    <w:rsid w:val="00F75706"/>
    <w:rsid w:val="00F75BE8"/>
    <w:rsid w:val="00F76502"/>
    <w:rsid w:val="00F7657C"/>
    <w:rsid w:val="00F814B9"/>
    <w:rsid w:val="00F831CC"/>
    <w:rsid w:val="00F83655"/>
    <w:rsid w:val="00F83909"/>
    <w:rsid w:val="00F84E2C"/>
    <w:rsid w:val="00F85A00"/>
    <w:rsid w:val="00F85C6B"/>
    <w:rsid w:val="00F86701"/>
    <w:rsid w:val="00F86E71"/>
    <w:rsid w:val="00F9187C"/>
    <w:rsid w:val="00F91F64"/>
    <w:rsid w:val="00F94168"/>
    <w:rsid w:val="00F95BD7"/>
    <w:rsid w:val="00F97272"/>
    <w:rsid w:val="00FA05C9"/>
    <w:rsid w:val="00FA0864"/>
    <w:rsid w:val="00FA4F12"/>
    <w:rsid w:val="00FA7A6E"/>
    <w:rsid w:val="00FA7B67"/>
    <w:rsid w:val="00FB0733"/>
    <w:rsid w:val="00FB41C2"/>
    <w:rsid w:val="00FB5FBA"/>
    <w:rsid w:val="00FC1A55"/>
    <w:rsid w:val="00FC2E84"/>
    <w:rsid w:val="00FC48D4"/>
    <w:rsid w:val="00FC5EBA"/>
    <w:rsid w:val="00FC618B"/>
    <w:rsid w:val="00FC62AF"/>
    <w:rsid w:val="00FC64C4"/>
    <w:rsid w:val="00FC7401"/>
    <w:rsid w:val="00FC78F7"/>
    <w:rsid w:val="00FC7AEB"/>
    <w:rsid w:val="00FD1205"/>
    <w:rsid w:val="00FD1901"/>
    <w:rsid w:val="00FD3448"/>
    <w:rsid w:val="00FD3474"/>
    <w:rsid w:val="00FD585C"/>
    <w:rsid w:val="00FD59FA"/>
    <w:rsid w:val="00FE131C"/>
    <w:rsid w:val="00FE1D40"/>
    <w:rsid w:val="00FE3087"/>
    <w:rsid w:val="00FE3E95"/>
    <w:rsid w:val="00FE4B52"/>
    <w:rsid w:val="00FE4FCA"/>
    <w:rsid w:val="00FE6038"/>
    <w:rsid w:val="00FE6934"/>
    <w:rsid w:val="00FF17DF"/>
    <w:rsid w:val="00FF2110"/>
    <w:rsid w:val="00FF2186"/>
    <w:rsid w:val="00FF34FD"/>
    <w:rsid w:val="00FF3B44"/>
    <w:rsid w:val="00FF3CE9"/>
    <w:rsid w:val="00FF53CE"/>
    <w:rsid w:val="00FF5992"/>
    <w:rsid w:val="00FF6F2A"/>
    <w:rsid w:val="00FF7773"/>
    <w:rsid w:val="010C05FB"/>
    <w:rsid w:val="01174E14"/>
    <w:rsid w:val="018726B7"/>
    <w:rsid w:val="055C7DA3"/>
    <w:rsid w:val="07F30FC7"/>
    <w:rsid w:val="083D30B1"/>
    <w:rsid w:val="0A2157A4"/>
    <w:rsid w:val="0A911CDB"/>
    <w:rsid w:val="0B6F0A9C"/>
    <w:rsid w:val="0EF37912"/>
    <w:rsid w:val="104A707D"/>
    <w:rsid w:val="10E856E8"/>
    <w:rsid w:val="11400B58"/>
    <w:rsid w:val="13F55805"/>
    <w:rsid w:val="188861B7"/>
    <w:rsid w:val="19926D12"/>
    <w:rsid w:val="1A5E21E2"/>
    <w:rsid w:val="21CE2197"/>
    <w:rsid w:val="21EE7395"/>
    <w:rsid w:val="222C3DED"/>
    <w:rsid w:val="225A3BE8"/>
    <w:rsid w:val="22F77DA2"/>
    <w:rsid w:val="234C48D4"/>
    <w:rsid w:val="250A7F38"/>
    <w:rsid w:val="27E95AB5"/>
    <w:rsid w:val="288C3FD2"/>
    <w:rsid w:val="2B063954"/>
    <w:rsid w:val="2D060CB0"/>
    <w:rsid w:val="2D392FCC"/>
    <w:rsid w:val="2D5D0287"/>
    <w:rsid w:val="2E1D26B8"/>
    <w:rsid w:val="2EDC36E2"/>
    <w:rsid w:val="2F472A9B"/>
    <w:rsid w:val="304878DB"/>
    <w:rsid w:val="309757D5"/>
    <w:rsid w:val="31B74A84"/>
    <w:rsid w:val="31C20823"/>
    <w:rsid w:val="31CD7A64"/>
    <w:rsid w:val="324968D4"/>
    <w:rsid w:val="329E317D"/>
    <w:rsid w:val="329E67FB"/>
    <w:rsid w:val="33AB6E8B"/>
    <w:rsid w:val="362728E5"/>
    <w:rsid w:val="364429A1"/>
    <w:rsid w:val="38002222"/>
    <w:rsid w:val="390C7FEE"/>
    <w:rsid w:val="39CFC0E5"/>
    <w:rsid w:val="39EC6234"/>
    <w:rsid w:val="3D57524F"/>
    <w:rsid w:val="3FE1459B"/>
    <w:rsid w:val="40D53CC1"/>
    <w:rsid w:val="414D4AE6"/>
    <w:rsid w:val="41547A10"/>
    <w:rsid w:val="42C70CC6"/>
    <w:rsid w:val="43965EF5"/>
    <w:rsid w:val="443D1BED"/>
    <w:rsid w:val="44E37119"/>
    <w:rsid w:val="47B376E1"/>
    <w:rsid w:val="486F6180"/>
    <w:rsid w:val="48A02BE4"/>
    <w:rsid w:val="492B04AD"/>
    <w:rsid w:val="4A0B5623"/>
    <w:rsid w:val="4A0E7955"/>
    <w:rsid w:val="4A382503"/>
    <w:rsid w:val="4B6A3F36"/>
    <w:rsid w:val="4C433718"/>
    <w:rsid w:val="4D6E452C"/>
    <w:rsid w:val="4D764BCE"/>
    <w:rsid w:val="4DDB3CCA"/>
    <w:rsid w:val="50015A04"/>
    <w:rsid w:val="50BC399A"/>
    <w:rsid w:val="5199181E"/>
    <w:rsid w:val="51AA4C26"/>
    <w:rsid w:val="559868B4"/>
    <w:rsid w:val="567D22AF"/>
    <w:rsid w:val="578B26B7"/>
    <w:rsid w:val="58321F37"/>
    <w:rsid w:val="58887B2B"/>
    <w:rsid w:val="59561F72"/>
    <w:rsid w:val="59D258A0"/>
    <w:rsid w:val="5A0B0462"/>
    <w:rsid w:val="5B035729"/>
    <w:rsid w:val="5C547C53"/>
    <w:rsid w:val="5CD51FC7"/>
    <w:rsid w:val="5D514121"/>
    <w:rsid w:val="5D946A21"/>
    <w:rsid w:val="5F18555D"/>
    <w:rsid w:val="5FC20D82"/>
    <w:rsid w:val="5FEE07F4"/>
    <w:rsid w:val="618356F0"/>
    <w:rsid w:val="63100BFE"/>
    <w:rsid w:val="63A66599"/>
    <w:rsid w:val="64006BFB"/>
    <w:rsid w:val="64DF7A23"/>
    <w:rsid w:val="65E53C7C"/>
    <w:rsid w:val="66A50807"/>
    <w:rsid w:val="673C6D60"/>
    <w:rsid w:val="6BF31B3F"/>
    <w:rsid w:val="6D1665C0"/>
    <w:rsid w:val="6DB0505C"/>
    <w:rsid w:val="6E797944"/>
    <w:rsid w:val="701E6720"/>
    <w:rsid w:val="70553858"/>
    <w:rsid w:val="70666892"/>
    <w:rsid w:val="71301011"/>
    <w:rsid w:val="718819B9"/>
    <w:rsid w:val="7271196E"/>
    <w:rsid w:val="73074905"/>
    <w:rsid w:val="73C53321"/>
    <w:rsid w:val="73ED0092"/>
    <w:rsid w:val="74091AA3"/>
    <w:rsid w:val="74190FE3"/>
    <w:rsid w:val="754B5AA7"/>
    <w:rsid w:val="75AD2DF9"/>
    <w:rsid w:val="785A5E54"/>
    <w:rsid w:val="793D2090"/>
    <w:rsid w:val="7AC141B6"/>
    <w:rsid w:val="7AC82108"/>
    <w:rsid w:val="7C924DA9"/>
    <w:rsid w:val="7E6F1E7C"/>
    <w:rsid w:val="7FF0349C"/>
    <w:rsid w:val="9EE7E6C5"/>
    <w:rsid w:val="C6F3CB20"/>
    <w:rsid w:val="DAEFEBAD"/>
    <w:rsid w:val="F66F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pageBreakBefore/>
      <w:numPr>
        <w:ilvl w:val="0"/>
        <w:numId w:val="1"/>
      </w:numPr>
      <w:spacing w:line="360" w:lineRule="auto"/>
      <w:ind w:left="906" w:hanging="906" w:hangingChars="205"/>
      <w:jc w:val="center"/>
      <w:outlineLvl w:val="0"/>
    </w:pPr>
    <w:rPr>
      <w:rFonts w:ascii="黑体" w:hAnsi="黑体" w:eastAsia="黑体"/>
      <w:b/>
      <w:sz w:val="44"/>
    </w:rPr>
  </w:style>
  <w:style w:type="paragraph" w:styleId="4">
    <w:name w:val="heading 2"/>
    <w:basedOn w:val="1"/>
    <w:next w:val="1"/>
    <w:qFormat/>
    <w:uiPriority w:val="0"/>
    <w:pPr>
      <w:keepNext/>
      <w:keepLines/>
      <w:numPr>
        <w:ilvl w:val="1"/>
        <w:numId w:val="1"/>
      </w:numPr>
      <w:adjustRightInd w:val="0"/>
      <w:spacing w:before="260" w:after="260" w:line="416" w:lineRule="atLeast"/>
      <w:textAlignment w:val="baseline"/>
      <w:outlineLvl w:val="1"/>
    </w:pPr>
    <w:rPr>
      <w:rFonts w:ascii="宋体" w:hAnsi="宋体"/>
      <w:b/>
      <w:kern w:val="0"/>
      <w:sz w:val="32"/>
      <w:szCs w:val="20"/>
    </w:rPr>
  </w:style>
  <w:style w:type="paragraph" w:styleId="5">
    <w:name w:val="heading 3"/>
    <w:basedOn w:val="1"/>
    <w:next w:val="1"/>
    <w:qFormat/>
    <w:uiPriority w:val="0"/>
    <w:pPr>
      <w:keepNext/>
      <w:keepLines/>
      <w:numPr>
        <w:ilvl w:val="2"/>
        <w:numId w:val="1"/>
      </w:numPr>
      <w:adjustRightInd w:val="0"/>
      <w:spacing w:before="260" w:line="416" w:lineRule="atLeast"/>
      <w:textAlignment w:val="baseline"/>
      <w:outlineLvl w:val="2"/>
    </w:pPr>
    <w:rPr>
      <w:b/>
      <w:kern w:val="0"/>
      <w:sz w:val="24"/>
      <w:szCs w:val="20"/>
    </w:rPr>
  </w:style>
  <w:style w:type="paragraph" w:styleId="6">
    <w:name w:val="heading 4"/>
    <w:basedOn w:val="1"/>
    <w:next w:val="7"/>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8">
    <w:name w:val="heading 5"/>
    <w:basedOn w:val="1"/>
    <w:next w:val="7"/>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7"/>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jc w:val="left"/>
    </w:pPr>
    <w:rPr>
      <w:rFonts w:hint="eastAsia" w:ascii="宋体"/>
      <w:kern w:val="0"/>
      <w:sz w:val="28"/>
      <w:szCs w:val="20"/>
    </w:rPr>
  </w:style>
  <w:style w:type="paragraph" w:styleId="7">
    <w:name w:val="Normal Indent"/>
    <w:basedOn w:val="1"/>
    <w:qFormat/>
    <w:uiPriority w:val="0"/>
    <w:pPr>
      <w:ind w:firstLine="420"/>
    </w:pPr>
    <w:rPr>
      <w:szCs w:val="20"/>
    </w:rPr>
  </w:style>
  <w:style w:type="paragraph" w:styleId="13">
    <w:name w:val="Document Map"/>
    <w:basedOn w:val="1"/>
    <w:link w:val="57"/>
    <w:qFormat/>
    <w:uiPriority w:val="0"/>
    <w:rPr>
      <w:rFonts w:ascii="宋体"/>
      <w:sz w:val="18"/>
      <w:szCs w:val="18"/>
    </w:rPr>
  </w:style>
  <w:style w:type="paragraph" w:styleId="14">
    <w:name w:val="annotation text"/>
    <w:basedOn w:val="1"/>
    <w:link w:val="52"/>
    <w:qFormat/>
    <w:uiPriority w:val="0"/>
    <w:pPr>
      <w:jc w:val="left"/>
    </w:pPr>
  </w:style>
  <w:style w:type="paragraph" w:styleId="15">
    <w:name w:val="Salutation"/>
    <w:basedOn w:val="1"/>
    <w:next w:val="1"/>
    <w:qFormat/>
    <w:uiPriority w:val="0"/>
    <w:rPr>
      <w:rFonts w:ascii="宋体" w:hAnsi="宋体"/>
      <w:sz w:val="24"/>
    </w:rPr>
  </w:style>
  <w:style w:type="paragraph" w:styleId="16">
    <w:name w:val="Body Text Indent"/>
    <w:basedOn w:val="1"/>
    <w:qFormat/>
    <w:uiPriority w:val="0"/>
    <w:pPr>
      <w:ind w:firstLine="900"/>
    </w:pPr>
    <w:rPr>
      <w:sz w:val="28"/>
      <w:szCs w:val="20"/>
    </w:rPr>
  </w:style>
  <w:style w:type="paragraph" w:styleId="17">
    <w:name w:val="toc 3"/>
    <w:basedOn w:val="1"/>
    <w:next w:val="1"/>
    <w:qFormat/>
    <w:uiPriority w:val="39"/>
    <w:pPr>
      <w:ind w:left="840" w:leftChars="400"/>
    </w:pPr>
  </w:style>
  <w:style w:type="paragraph" w:styleId="18">
    <w:name w:val="Plain Text"/>
    <w:basedOn w:val="1"/>
    <w:qFormat/>
    <w:uiPriority w:val="0"/>
    <w:rPr>
      <w:rFonts w:ascii="??" w:eastAsia="??"/>
      <w:szCs w:val="20"/>
      <w:lang w:eastAsia="en-US"/>
    </w:rPr>
  </w:style>
  <w:style w:type="paragraph" w:styleId="19">
    <w:name w:val="Date"/>
    <w:basedOn w:val="1"/>
    <w:next w:val="1"/>
    <w:qFormat/>
    <w:uiPriority w:val="0"/>
    <w:pPr>
      <w:autoSpaceDE w:val="0"/>
      <w:autoSpaceDN w:val="0"/>
      <w:adjustRightInd w:val="0"/>
    </w:pPr>
    <w:rPr>
      <w:rFonts w:hint="eastAsia" w:ascii="宋体"/>
      <w:kern w:val="0"/>
      <w:sz w:val="28"/>
      <w:szCs w:val="20"/>
    </w:rPr>
  </w:style>
  <w:style w:type="paragraph" w:styleId="20">
    <w:name w:val="Body Text Indent 2"/>
    <w:basedOn w:val="1"/>
    <w:qFormat/>
    <w:uiPriority w:val="0"/>
    <w:pPr>
      <w:spacing w:line="360" w:lineRule="auto"/>
      <w:ind w:firstLine="720"/>
    </w:pPr>
    <w:rPr>
      <w:rFonts w:hint="eastAsia" w:ascii="宋体"/>
      <w:sz w:val="28"/>
      <w:szCs w:val="20"/>
    </w:rPr>
  </w:style>
  <w:style w:type="paragraph" w:styleId="21">
    <w:name w:val="Balloon Text"/>
    <w:basedOn w:val="1"/>
    <w:link w:val="59"/>
    <w:qFormat/>
    <w:uiPriority w:val="0"/>
    <w:rPr>
      <w:sz w:val="18"/>
      <w:szCs w:val="18"/>
    </w:rPr>
  </w:style>
  <w:style w:type="paragraph" w:styleId="22">
    <w:name w:val="footer"/>
    <w:basedOn w:val="1"/>
    <w:link w:val="54"/>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3">
    <w:name w:val="header"/>
    <w:basedOn w:val="1"/>
    <w:link w:val="53"/>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4">
    <w:name w:val="toc 1"/>
    <w:basedOn w:val="1"/>
    <w:next w:val="1"/>
    <w:qFormat/>
    <w:uiPriority w:val="39"/>
  </w:style>
  <w:style w:type="paragraph" w:styleId="25">
    <w:name w:val="toc 2"/>
    <w:basedOn w:val="1"/>
    <w:next w:val="1"/>
    <w:qFormat/>
    <w:uiPriority w:val="39"/>
    <w:pPr>
      <w:tabs>
        <w:tab w:val="left" w:pos="1260"/>
        <w:tab w:val="right" w:leader="dot" w:pos="8303"/>
      </w:tabs>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annotation subject"/>
    <w:basedOn w:val="14"/>
    <w:next w:val="14"/>
    <w:link w:val="51"/>
    <w:qFormat/>
    <w:uiPriority w:val="0"/>
    <w:rPr>
      <w:b/>
      <w:bCs/>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semiHidden/>
    <w:qFormat/>
    <w:uiPriority w:val="0"/>
    <w:rPr>
      <w:sz w:val="21"/>
      <w:szCs w:val="21"/>
    </w:rPr>
  </w:style>
  <w:style w:type="paragraph" w:customStyle="1" w:styleId="34">
    <w:name w:val="仿宋四号正文-Victor"/>
    <w:basedOn w:val="1"/>
    <w:qFormat/>
    <w:uiPriority w:val="0"/>
    <w:pPr>
      <w:ind w:firstLine="560" w:firstLineChars="200"/>
    </w:pPr>
    <w:rPr>
      <w:rFonts w:ascii="仿宋_GB2312" w:hAnsi="Arial" w:eastAsia="仿宋_GB2312" w:cs="Arial"/>
      <w:bCs/>
      <w:sz w:val="28"/>
      <w:szCs w:val="28"/>
    </w:rPr>
  </w:style>
  <w:style w:type="paragraph" w:customStyle="1" w:styleId="35">
    <w:name w:val="仿四3-Victor"/>
    <w:basedOn w:val="1"/>
    <w:qFormat/>
    <w:uiPriority w:val="0"/>
    <w:pPr>
      <w:numPr>
        <w:ilvl w:val="2"/>
        <w:numId w:val="2"/>
      </w:numPr>
      <w:spacing w:line="360" w:lineRule="auto"/>
    </w:pPr>
    <w:rPr>
      <w:rFonts w:ascii="仿宋_GB2312" w:hAnsi="Arial" w:eastAsia="仿宋_GB2312" w:cs="Arial"/>
      <w:bCs/>
      <w:sz w:val="28"/>
      <w:szCs w:val="28"/>
    </w:rPr>
  </w:style>
  <w:style w:type="paragraph" w:customStyle="1" w:styleId="36">
    <w:name w:val="USE 4"/>
    <w:basedOn w:val="1"/>
    <w:qFormat/>
    <w:uiPriority w:val="0"/>
    <w:pPr>
      <w:numPr>
        <w:ilvl w:val="3"/>
        <w:numId w:val="3"/>
      </w:numPr>
      <w:spacing w:line="360" w:lineRule="auto"/>
      <w:jc w:val="left"/>
    </w:pPr>
    <w:rPr>
      <w:rFonts w:ascii="宋体" w:hAnsi="宋体"/>
      <w:sz w:val="24"/>
      <w:szCs w:val="20"/>
    </w:rPr>
  </w:style>
  <w:style w:type="paragraph" w:customStyle="1" w:styleId="37">
    <w:name w:val="_Style 36"/>
    <w:link w:val="56"/>
    <w:qFormat/>
    <w:uiPriority w:val="1"/>
    <w:rPr>
      <w:rFonts w:ascii="Calibri" w:hAnsi="Calibri" w:eastAsia="宋体" w:cs="Times New Roman"/>
      <w:sz w:val="22"/>
      <w:szCs w:val="22"/>
      <w:lang w:val="en-US" w:eastAsia="zh-CN" w:bidi="ar-SA"/>
    </w:rPr>
  </w:style>
  <w:style w:type="paragraph" w:customStyle="1" w:styleId="38">
    <w:name w:val="USE 3"/>
    <w:basedOn w:val="1"/>
    <w:qFormat/>
    <w:uiPriority w:val="0"/>
    <w:pPr>
      <w:numPr>
        <w:ilvl w:val="2"/>
        <w:numId w:val="3"/>
      </w:numPr>
      <w:spacing w:line="360" w:lineRule="auto"/>
      <w:jc w:val="left"/>
    </w:pPr>
    <w:rPr>
      <w:rFonts w:ascii="宋体" w:hAnsi="宋体"/>
      <w:sz w:val="24"/>
      <w:szCs w:val="20"/>
    </w:rPr>
  </w:style>
  <w:style w:type="paragraph" w:customStyle="1" w:styleId="39">
    <w:name w:val="仿四4-Victor"/>
    <w:basedOn w:val="35"/>
    <w:qFormat/>
    <w:uiPriority w:val="0"/>
    <w:pPr>
      <w:numPr>
        <w:ilvl w:val="3"/>
      </w:numPr>
    </w:pPr>
  </w:style>
  <w:style w:type="paragraph" w:customStyle="1" w:styleId="40">
    <w:name w:val="仿四1-Victor"/>
    <w:basedOn w:val="1"/>
    <w:qFormat/>
    <w:uiPriority w:val="0"/>
    <w:pPr>
      <w:numPr>
        <w:ilvl w:val="0"/>
        <w:numId w:val="2"/>
      </w:numPr>
      <w:spacing w:before="50" w:beforeLines="50" w:line="360" w:lineRule="auto"/>
    </w:pPr>
    <w:rPr>
      <w:rFonts w:ascii="仿宋_GB2312" w:hAnsi="Arial" w:eastAsia="仿宋_GB2312" w:cs="Arial"/>
      <w:bCs/>
      <w:sz w:val="28"/>
      <w:szCs w:val="28"/>
    </w:rPr>
  </w:style>
  <w:style w:type="paragraph" w:customStyle="1" w:styleId="41">
    <w:name w:val="USE 5"/>
    <w:basedOn w:val="1"/>
    <w:qFormat/>
    <w:uiPriority w:val="0"/>
    <w:pPr>
      <w:numPr>
        <w:ilvl w:val="4"/>
        <w:numId w:val="3"/>
      </w:numPr>
      <w:spacing w:line="360" w:lineRule="auto"/>
      <w:jc w:val="left"/>
    </w:pPr>
    <w:rPr>
      <w:rFonts w:ascii="宋体" w:hAnsi="宋体"/>
      <w:sz w:val="24"/>
    </w:rPr>
  </w:style>
  <w:style w:type="paragraph" w:customStyle="1" w:styleId="42">
    <w:name w:val="USE 2"/>
    <w:basedOn w:val="1"/>
    <w:qFormat/>
    <w:uiPriority w:val="0"/>
    <w:pPr>
      <w:numPr>
        <w:ilvl w:val="1"/>
        <w:numId w:val="3"/>
      </w:numPr>
      <w:spacing w:line="360" w:lineRule="auto"/>
      <w:jc w:val="left"/>
    </w:pPr>
    <w:rPr>
      <w:rFonts w:ascii="宋体" w:hAnsi="宋体"/>
      <w:sz w:val="24"/>
      <w:szCs w:val="20"/>
    </w:rPr>
  </w:style>
  <w:style w:type="paragraph" w:customStyle="1" w:styleId="43">
    <w:name w:val="样式1-Victor"/>
    <w:basedOn w:val="1"/>
    <w:qFormat/>
    <w:uiPriority w:val="0"/>
    <w:pPr>
      <w:numPr>
        <w:ilvl w:val="0"/>
        <w:numId w:val="4"/>
      </w:numPr>
      <w:spacing w:before="50" w:beforeLines="50" w:line="360" w:lineRule="auto"/>
    </w:pPr>
    <w:rPr>
      <w:rFonts w:ascii="仿宋_GB2312" w:hAnsi="Arial" w:eastAsia="仿宋_GB2312" w:cs="Arial"/>
      <w:bCs/>
      <w:sz w:val="28"/>
      <w:szCs w:val="28"/>
    </w:rPr>
  </w:style>
  <w:style w:type="paragraph" w:customStyle="1" w:styleId="44">
    <w:name w:val="Char Char1 Char Char Char Char Char Char"/>
    <w:basedOn w:val="1"/>
    <w:qFormat/>
    <w:uiPriority w:val="0"/>
    <w:rPr>
      <w:rFonts w:ascii="Tahoma" w:hAnsi="Tahoma"/>
      <w:sz w:val="24"/>
      <w:szCs w:val="20"/>
    </w:rPr>
  </w:style>
  <w:style w:type="paragraph" w:customStyle="1" w:styleId="45">
    <w:name w:val="样式 USE 1 + 行距: 单倍行距"/>
    <w:basedOn w:val="1"/>
    <w:qFormat/>
    <w:uiPriority w:val="0"/>
    <w:pPr>
      <w:numPr>
        <w:ilvl w:val="0"/>
        <w:numId w:val="3"/>
      </w:numPr>
      <w:spacing w:line="180" w:lineRule="atLeast"/>
      <w:jc w:val="left"/>
    </w:pPr>
    <w:rPr>
      <w:rFonts w:ascii="宋体" w:hAnsi="宋体" w:cs="宋体"/>
      <w:b/>
      <w:bCs/>
      <w:sz w:val="24"/>
      <w:szCs w:val="20"/>
    </w:rPr>
  </w:style>
  <w:style w:type="paragraph" w:customStyle="1" w:styleId="46">
    <w:name w:val="Char Char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7">
    <w:name w:val="a4施工招标-正文"/>
    <w:link w:val="55"/>
    <w:qFormat/>
    <w:uiPriority w:val="0"/>
    <w:pPr>
      <w:spacing w:line="360" w:lineRule="auto"/>
      <w:jc w:val="both"/>
    </w:pPr>
    <w:rPr>
      <w:rFonts w:ascii="宋体" w:hAnsi="宋体" w:eastAsia="宋体" w:cs="Times New Roman"/>
      <w:sz w:val="21"/>
      <w:szCs w:val="21"/>
      <w:lang w:val="en-US" w:eastAsia="zh-CN" w:bidi="ar-SA"/>
    </w:rPr>
  </w:style>
  <w:style w:type="paragraph" w:customStyle="1" w:styleId="48">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49">
    <w:name w:val="_Style 48"/>
    <w:basedOn w:val="1"/>
    <w:qFormat/>
    <w:uiPriority w:val="34"/>
    <w:pPr>
      <w:ind w:firstLine="420" w:firstLineChars="200"/>
    </w:pPr>
    <w:rPr>
      <w:rFonts w:ascii="等线" w:hAnsi="等线" w:eastAsia="等线"/>
      <w:szCs w:val="22"/>
    </w:rPr>
  </w:style>
  <w:style w:type="paragraph" w:customStyle="1" w:styleId="50">
    <w:name w:val="_Style 49"/>
    <w:basedOn w:val="3"/>
    <w:next w:val="1"/>
    <w:unhideWhenUsed/>
    <w:qFormat/>
    <w:uiPriority w:val="39"/>
    <w:pPr>
      <w:keepNext/>
      <w:keepLines/>
      <w:pageBreakBefore w:val="0"/>
      <w:widowControl/>
      <w:numPr>
        <w:numId w:val="0"/>
      </w:numPr>
      <w:spacing w:before="480" w:line="276" w:lineRule="auto"/>
      <w:jc w:val="left"/>
      <w:outlineLvl w:val="9"/>
    </w:pPr>
    <w:rPr>
      <w:rFonts w:ascii="Cambria" w:hAnsi="Cambria" w:eastAsia="宋体"/>
      <w:bCs/>
      <w:color w:val="365F91"/>
      <w:kern w:val="0"/>
      <w:sz w:val="28"/>
      <w:szCs w:val="28"/>
    </w:rPr>
  </w:style>
  <w:style w:type="character" w:customStyle="1" w:styleId="51">
    <w:name w:val="批注主题 Char"/>
    <w:link w:val="27"/>
    <w:qFormat/>
    <w:uiPriority w:val="0"/>
    <w:rPr>
      <w:kern w:val="2"/>
      <w:sz w:val="21"/>
      <w:szCs w:val="24"/>
    </w:rPr>
  </w:style>
  <w:style w:type="character" w:customStyle="1" w:styleId="52">
    <w:name w:val="批注文字 Char"/>
    <w:link w:val="14"/>
    <w:qFormat/>
    <w:uiPriority w:val="0"/>
    <w:rPr>
      <w:kern w:val="2"/>
      <w:sz w:val="21"/>
      <w:szCs w:val="24"/>
    </w:rPr>
  </w:style>
  <w:style w:type="character" w:customStyle="1" w:styleId="53">
    <w:name w:val="页眉 Char"/>
    <w:link w:val="23"/>
    <w:qFormat/>
    <w:uiPriority w:val="99"/>
    <w:rPr>
      <w:rFonts w:ascii="宋体"/>
      <w:sz w:val="18"/>
    </w:rPr>
  </w:style>
  <w:style w:type="character" w:customStyle="1" w:styleId="54">
    <w:name w:val="页脚 Char"/>
    <w:link w:val="22"/>
    <w:qFormat/>
    <w:uiPriority w:val="99"/>
    <w:rPr>
      <w:rFonts w:ascii="宋体"/>
      <w:sz w:val="18"/>
    </w:rPr>
  </w:style>
  <w:style w:type="character" w:customStyle="1" w:styleId="55">
    <w:name w:val="a4施工招标-正文 Char"/>
    <w:link w:val="47"/>
    <w:qFormat/>
    <w:uiPriority w:val="0"/>
    <w:rPr>
      <w:rFonts w:ascii="宋体" w:hAnsi="宋体"/>
      <w:sz w:val="21"/>
      <w:szCs w:val="21"/>
      <w:lang w:val="en-US" w:eastAsia="zh-CN" w:bidi="ar-SA"/>
    </w:rPr>
  </w:style>
  <w:style w:type="character" w:customStyle="1" w:styleId="56">
    <w:name w:val="无间隔 Char"/>
    <w:link w:val="37"/>
    <w:qFormat/>
    <w:uiPriority w:val="1"/>
    <w:rPr>
      <w:sz w:val="22"/>
      <w:szCs w:val="22"/>
      <w:lang w:val="en-US" w:eastAsia="zh-CN" w:bidi="ar-SA"/>
    </w:rPr>
  </w:style>
  <w:style w:type="character" w:customStyle="1" w:styleId="57">
    <w:name w:val="文档结构图 Char"/>
    <w:link w:val="13"/>
    <w:qFormat/>
    <w:uiPriority w:val="0"/>
    <w:rPr>
      <w:rFonts w:ascii="宋体"/>
      <w:kern w:val="2"/>
      <w:sz w:val="18"/>
      <w:szCs w:val="18"/>
    </w:rPr>
  </w:style>
  <w:style w:type="character" w:customStyle="1" w:styleId="58">
    <w:name w:val="纯文本 Char"/>
    <w:semiHidden/>
    <w:qFormat/>
    <w:uiPriority w:val="0"/>
    <w:rPr>
      <w:rFonts w:ascii="??" w:eastAsia="??"/>
      <w:snapToGrid/>
      <w:kern w:val="2"/>
      <w:sz w:val="21"/>
      <w:lang w:eastAsia="en-US"/>
    </w:rPr>
  </w:style>
  <w:style w:type="character" w:customStyle="1" w:styleId="59">
    <w:name w:val="批注框文本 Char"/>
    <w:link w:val="21"/>
    <w:qFormat/>
    <w:uiPriority w:val="0"/>
    <w:rPr>
      <w:kern w:val="2"/>
      <w:sz w:val="18"/>
      <w:szCs w:val="18"/>
    </w:rPr>
  </w:style>
  <w:style w:type="character" w:customStyle="1" w:styleId="60">
    <w:name w:val="标题1"/>
    <w:basedOn w:val="30"/>
    <w:qFormat/>
    <w:uiPriority w:val="0"/>
  </w:style>
  <w:style w:type="character" w:customStyle="1" w:styleId="61">
    <w:name w:val="未处理的提及1"/>
    <w:unhideWhenUsed/>
    <w:qFormat/>
    <w:uiPriority w:val="99"/>
    <w:rPr>
      <w:color w:val="605E5C"/>
      <w:shd w:val="clear" w:color="auto" w:fill="E1DFDD"/>
    </w:rPr>
  </w:style>
  <w:style w:type="character" w:customStyle="1" w:styleId="62">
    <w:name w:val="标题 1 Char"/>
    <w:qFormat/>
    <w:uiPriority w:val="0"/>
    <w:rPr>
      <w:rFonts w:ascii="Times New Roman" w:hAnsi="Times New Roman" w:eastAsia="宋体" w:cs="Times New Roman"/>
      <w:b/>
      <w:bCs/>
      <w:kern w:val="44"/>
      <w:sz w:val="44"/>
      <w:szCs w:val="44"/>
    </w:rPr>
  </w:style>
  <w:style w:type="paragraph" w:customStyle="1" w:styleId="6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2621</Words>
  <Characters>14941</Characters>
  <Lines>124</Lines>
  <Paragraphs>35</Paragraphs>
  <TotalTime>15</TotalTime>
  <ScaleCrop>false</ScaleCrop>
  <LinksUpToDate>false</LinksUpToDate>
  <CharactersWithSpaces>17527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2021-05-13T08:41:00Z</dcterms:created>
  <dc:creator>moo</dc:creator>
  <cp:lastModifiedBy>Jay</cp:lastModifiedBy>
  <cp:lastPrinted>2019-05-16T16:06:00Z</cp:lastPrinted>
  <dcterms:modified xsi:type="dcterms:W3CDTF">2021-07-20T05:27:29Z</dcterms:modified>
  <dc:title>材料采购</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EF71FFF368B347BAB5E8B31A324E16BE</vt:lpwstr>
  </property>
</Properties>
</file>